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Times New Roman" w:hAnsi="Times New Roman" w:eastAsia="方正小标宋简体" w:cs="Times New Roman"/>
          <w:sz w:val="32"/>
          <w:szCs w:val="32"/>
        </w:rPr>
      </w:pPr>
      <w:bookmarkStart w:id="0" w:name="RedFoot"/>
    </w:p>
    <w:p>
      <w:pPr>
        <w:spacing w:line="420" w:lineRule="exact"/>
        <w:jc w:val="center"/>
        <w:rPr>
          <w:rFonts w:ascii="Times New Roman" w:hAnsi="Times New Roman" w:eastAsia="方正小标宋简体" w:cs="Times New Roman"/>
          <w:sz w:val="32"/>
          <w:szCs w:val="32"/>
        </w:rPr>
      </w:pPr>
    </w:p>
    <w:p>
      <w:pPr>
        <w:spacing w:line="42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便民</w:t>
      </w:r>
      <w:r>
        <w:rPr>
          <w:rFonts w:ascii="Times New Roman" w:hAnsi="Times New Roman" w:eastAsia="方正小标宋简体" w:cs="Times New Roman"/>
          <w:sz w:val="32"/>
          <w:szCs w:val="32"/>
        </w:rPr>
        <w:t>价格手册</w:t>
      </w:r>
    </w:p>
    <w:p>
      <w:pPr>
        <w:spacing w:line="420" w:lineRule="exact"/>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（202</w:t>
      </w:r>
      <w:r>
        <w:rPr>
          <w:rFonts w:hint="eastAsia" w:ascii="Times New Roman" w:hAnsi="Times New Roman" w:eastAsia="楷体_GB2312" w:cs="Times New Roman"/>
          <w:sz w:val="30"/>
          <w:szCs w:val="30"/>
          <w:lang w:val="en-US" w:eastAsia="zh-CN"/>
        </w:rPr>
        <w:t>4版</w:t>
      </w:r>
      <w:bookmarkStart w:id="4" w:name="_GoBack"/>
      <w:bookmarkEnd w:id="4"/>
      <w:r>
        <w:rPr>
          <w:rFonts w:ascii="Times New Roman" w:hAnsi="Times New Roman" w:eastAsia="楷体_GB2312" w:cs="Times New Roman"/>
          <w:sz w:val="30"/>
          <w:szCs w:val="30"/>
        </w:rPr>
        <w:t>）</w:t>
      </w:r>
    </w:p>
    <w:p>
      <w:pPr>
        <w:spacing w:line="420" w:lineRule="exact"/>
        <w:jc w:val="center"/>
        <w:rPr>
          <w:rFonts w:ascii="Times New Roman" w:hAnsi="Times New Roman" w:eastAsia="方正小标宋简体" w:cs="Times New Roman"/>
          <w:sz w:val="36"/>
          <w:szCs w:val="36"/>
        </w:rPr>
      </w:pPr>
    </w:p>
    <w:p>
      <w:pPr>
        <w:spacing w:line="50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根据《山东省定价目录》（鲁</w:t>
      </w:r>
      <w:r>
        <w:rPr>
          <w:rFonts w:hint="eastAsia" w:ascii="Times New Roman" w:hAnsi="Times New Roman" w:eastAsia="楷体_GB2312" w:cs="Times New Roman"/>
          <w:sz w:val="24"/>
        </w:rPr>
        <w:t>发改价格</w:t>
      </w:r>
      <w:r>
        <w:rPr>
          <w:rFonts w:ascii="Times New Roman" w:hAnsi="Times New Roman" w:eastAsia="楷体_GB2312" w:cs="Times New Roman"/>
          <w:sz w:val="24"/>
        </w:rPr>
        <w:t>〔20</w:t>
      </w:r>
      <w:r>
        <w:rPr>
          <w:rFonts w:hint="eastAsia" w:ascii="Times New Roman" w:hAnsi="Times New Roman" w:eastAsia="楷体_GB2312" w:cs="Times New Roman"/>
          <w:sz w:val="24"/>
        </w:rPr>
        <w:t>20</w:t>
      </w:r>
      <w:r>
        <w:rPr>
          <w:rFonts w:ascii="Times New Roman" w:hAnsi="Times New Roman" w:eastAsia="楷体_GB2312" w:cs="Times New Roman"/>
          <w:sz w:val="24"/>
        </w:rPr>
        <w:t>〕</w:t>
      </w:r>
      <w:r>
        <w:rPr>
          <w:rFonts w:hint="eastAsia" w:ascii="Times New Roman" w:hAnsi="Times New Roman" w:eastAsia="楷体_GB2312" w:cs="Times New Roman"/>
          <w:sz w:val="24"/>
        </w:rPr>
        <w:t>1361</w:t>
      </w:r>
      <w:r>
        <w:rPr>
          <w:rFonts w:ascii="Times New Roman" w:hAnsi="Times New Roman" w:eastAsia="楷体_GB2312" w:cs="Times New Roman"/>
          <w:sz w:val="24"/>
        </w:rPr>
        <w:t>号），政府定价项目包括自来水、污水处理、燃气、供热、电力、公共交通、交通运输、停车、教育、物业服务、重要专业服务等商品和服务价格。竞争性领域和环节价格放开，实行市场调节价。</w:t>
      </w:r>
    </w:p>
    <w:p>
      <w:pPr>
        <w:spacing w:line="560" w:lineRule="exact"/>
        <w:jc w:val="center"/>
        <w:rPr>
          <w:rFonts w:ascii="Times New Roman" w:hAnsi="Times New Roman" w:eastAsia="黑体" w:cs="Times New Roman"/>
          <w:sz w:val="24"/>
        </w:rPr>
      </w:pP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2"/>
          <w:szCs w:val="32"/>
        </w:rPr>
      </w:pPr>
    </w:p>
    <w:p>
      <w:pPr>
        <w:spacing w:line="46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目  录</w:t>
      </w:r>
    </w:p>
    <w:p>
      <w:pPr>
        <w:spacing w:line="460" w:lineRule="exact"/>
        <w:jc w:val="center"/>
        <w:rPr>
          <w:rFonts w:ascii="Times New Roman" w:hAnsi="Times New Roman" w:eastAsia="方正小标宋简体" w:cs="Times New Roman"/>
          <w:sz w:val="32"/>
          <w:szCs w:val="32"/>
        </w:rPr>
      </w:pPr>
    </w:p>
    <w:p>
      <w:pPr>
        <w:spacing w:line="460" w:lineRule="exact"/>
        <w:jc w:val="distribute"/>
        <w:rPr>
          <w:rFonts w:ascii="Times New Roman" w:hAnsi="Times New Roman" w:eastAsia="楷体_GB2312" w:cs="Times New Roman"/>
          <w:sz w:val="24"/>
        </w:rPr>
      </w:pPr>
      <w:r>
        <w:rPr>
          <w:rFonts w:ascii="Times New Roman" w:hAnsi="Times New Roman" w:eastAsia="楷体_GB2312" w:cs="Times New Roman"/>
          <w:sz w:val="24"/>
        </w:rPr>
        <w:t>一、水气热电价格 …………………………1</w:t>
      </w:r>
    </w:p>
    <w:p>
      <w:pPr>
        <w:spacing w:line="460" w:lineRule="exact"/>
        <w:jc w:val="distribute"/>
        <w:rPr>
          <w:rFonts w:ascii="Times New Roman" w:hAnsi="Times New Roman" w:cs="Times New Roman" w:eastAsiaTheme="minorEastAsia"/>
          <w:sz w:val="24"/>
        </w:rPr>
      </w:pP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1.水价 ……………………………………1</w:t>
      </w:r>
    </w:p>
    <w:p>
      <w:pPr>
        <w:spacing w:line="460" w:lineRule="exact"/>
        <w:jc w:val="distribute"/>
        <w:rPr>
          <w:rFonts w:ascii="Times New Roman" w:hAnsi="Times New Roman" w:cs="Times New Roman" w:eastAsiaTheme="minorEastAsia"/>
          <w:sz w:val="24"/>
        </w:rPr>
      </w:pP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2.气价 ……………………………………2</w:t>
      </w:r>
    </w:p>
    <w:p>
      <w:pPr>
        <w:spacing w:line="460" w:lineRule="exact"/>
        <w:jc w:val="distribute"/>
        <w:rPr>
          <w:rFonts w:ascii="Times New Roman" w:hAnsi="Times New Roman" w:cs="Times New Roman" w:eastAsiaTheme="minorEastAsia"/>
          <w:sz w:val="24"/>
        </w:rPr>
      </w:pP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3.热价 ……………………………………3</w:t>
      </w:r>
    </w:p>
    <w:p>
      <w:pPr>
        <w:spacing w:line="460" w:lineRule="exact"/>
        <w:jc w:val="distribute"/>
        <w:rPr>
          <w:rFonts w:ascii="Times New Roman" w:hAnsi="Times New Roman" w:cs="Times New Roman" w:eastAsiaTheme="minorEastAsia"/>
          <w:sz w:val="24"/>
        </w:rPr>
      </w:pP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4.电价 ……………………………………4</w:t>
      </w:r>
    </w:p>
    <w:p>
      <w:pPr>
        <w:spacing w:line="460" w:lineRule="exact"/>
        <w:jc w:val="distribute"/>
        <w:rPr>
          <w:rFonts w:ascii="Times New Roman" w:hAnsi="Times New Roman" w:eastAsia="楷体_GB2312" w:cs="Times New Roman"/>
          <w:sz w:val="24"/>
        </w:rPr>
      </w:pPr>
      <w:r>
        <w:rPr>
          <w:rFonts w:ascii="Times New Roman" w:hAnsi="Times New Roman" w:eastAsia="楷体_GB2312" w:cs="Times New Roman"/>
          <w:sz w:val="24"/>
        </w:rPr>
        <w:t>二、公共交通价格 …………………………</w:t>
      </w:r>
      <w:r>
        <w:rPr>
          <w:rFonts w:hint="eastAsia" w:ascii="Times New Roman" w:hAnsi="Times New Roman" w:eastAsia="楷体_GB2312" w:cs="Times New Roman"/>
          <w:sz w:val="24"/>
        </w:rPr>
        <w:t>5</w:t>
      </w:r>
    </w:p>
    <w:p>
      <w:pPr>
        <w:spacing w:line="460" w:lineRule="exact"/>
        <w:jc w:val="distribute"/>
        <w:rPr>
          <w:rFonts w:ascii="Times New Roman" w:hAnsi="Times New Roman" w:eastAsia="楷体_GB2312" w:cs="Times New Roman"/>
          <w:sz w:val="24"/>
        </w:rPr>
      </w:pPr>
      <w:r>
        <w:rPr>
          <w:rFonts w:ascii="Times New Roman" w:hAnsi="Times New Roman" w:eastAsia="楷体_GB2312" w:cs="Times New Roman"/>
          <w:sz w:val="24"/>
        </w:rPr>
        <w:t>三、交通运输价格 …………………………</w:t>
      </w:r>
      <w:r>
        <w:rPr>
          <w:rFonts w:hint="eastAsia" w:ascii="Times New Roman" w:hAnsi="Times New Roman" w:eastAsia="楷体_GB2312" w:cs="Times New Roman"/>
          <w:sz w:val="24"/>
        </w:rPr>
        <w:t>5</w:t>
      </w:r>
    </w:p>
    <w:p>
      <w:pPr>
        <w:spacing w:line="460" w:lineRule="exact"/>
        <w:jc w:val="distribute"/>
        <w:rPr>
          <w:rFonts w:ascii="Times New Roman" w:hAnsi="Times New Roman" w:cs="Times New Roman" w:eastAsiaTheme="minorEastAsia"/>
          <w:sz w:val="24"/>
        </w:rPr>
      </w:pP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1.巡游出租车运价 ………………………</w:t>
      </w:r>
      <w:r>
        <w:rPr>
          <w:rFonts w:hint="eastAsia" w:ascii="Times New Roman" w:hAnsi="Times New Roman" w:cs="Times New Roman" w:eastAsiaTheme="minorEastAsia"/>
          <w:sz w:val="24"/>
        </w:rPr>
        <w:t>5</w:t>
      </w:r>
    </w:p>
    <w:p>
      <w:pPr>
        <w:spacing w:line="460" w:lineRule="exact"/>
        <w:jc w:val="distribute"/>
        <w:rPr>
          <w:rFonts w:ascii="Times New Roman" w:hAnsi="Times New Roman" w:cs="Times New Roman" w:eastAsiaTheme="minorEastAsia"/>
          <w:sz w:val="24"/>
        </w:rPr>
      </w:pP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2.高速公路清障救援服务收费标准 ……</w:t>
      </w:r>
      <w:r>
        <w:rPr>
          <w:rFonts w:hint="eastAsia" w:ascii="Times New Roman" w:hAnsi="Times New Roman" w:cs="Times New Roman" w:eastAsiaTheme="minorEastAsia"/>
          <w:sz w:val="24"/>
        </w:rPr>
        <w:t>6</w:t>
      </w:r>
    </w:p>
    <w:p>
      <w:pPr>
        <w:spacing w:line="460" w:lineRule="exact"/>
        <w:jc w:val="distribute"/>
        <w:rPr>
          <w:rFonts w:ascii="Times New Roman" w:hAnsi="Times New Roman" w:eastAsia="楷体_GB2312" w:cs="Times New Roman"/>
          <w:sz w:val="24"/>
        </w:rPr>
      </w:pPr>
      <w:r>
        <w:rPr>
          <w:rFonts w:ascii="Times New Roman" w:hAnsi="Times New Roman" w:eastAsia="楷体_GB2312" w:cs="Times New Roman"/>
          <w:sz w:val="24"/>
        </w:rPr>
        <w:t>四、</w:t>
      </w:r>
      <w:r>
        <w:rPr>
          <w:rFonts w:hint="eastAsia" w:ascii="Times New Roman" w:hAnsi="Times New Roman" w:eastAsia="楷体_GB2312" w:cs="Times New Roman"/>
          <w:sz w:val="24"/>
        </w:rPr>
        <w:t>政府定价</w:t>
      </w:r>
      <w:r>
        <w:rPr>
          <w:rFonts w:ascii="Times New Roman" w:hAnsi="Times New Roman" w:eastAsia="楷体_GB2312" w:cs="Times New Roman"/>
          <w:sz w:val="24"/>
        </w:rPr>
        <w:t>停车场收费…………………</w:t>
      </w:r>
      <w:r>
        <w:rPr>
          <w:rFonts w:hint="eastAsia" w:ascii="Times New Roman" w:hAnsi="Times New Roman" w:eastAsia="楷体_GB2312" w:cs="Times New Roman"/>
          <w:sz w:val="24"/>
        </w:rPr>
        <w:t>8</w:t>
      </w:r>
    </w:p>
    <w:p>
      <w:pPr>
        <w:spacing w:line="460" w:lineRule="exact"/>
        <w:jc w:val="distribute"/>
        <w:rPr>
          <w:rFonts w:ascii="Times New Roman" w:hAnsi="Times New Roman" w:cs="Times New Roman" w:eastAsiaTheme="minorEastAsia"/>
          <w:sz w:val="24"/>
        </w:rPr>
      </w:pPr>
      <w:r>
        <w:rPr>
          <w:rFonts w:ascii="Times New Roman" w:hAnsi="Times New Roman" w:cs="Times New Roman" w:eastAsiaTheme="minorEastAsia"/>
          <w:sz w:val="24"/>
        </w:rPr>
        <w:t>1.泰安市城区</w:t>
      </w:r>
      <w:r>
        <w:rPr>
          <w:rFonts w:hint="eastAsia" w:ascii="Times New Roman" w:hAnsi="Times New Roman" w:cs="Times New Roman" w:eastAsiaTheme="minorEastAsia"/>
          <w:sz w:val="24"/>
        </w:rPr>
        <w:t>政府定价</w:t>
      </w:r>
      <w:r>
        <w:rPr>
          <w:rFonts w:ascii="Times New Roman" w:hAnsi="Times New Roman" w:cs="Times New Roman" w:eastAsiaTheme="minorEastAsia"/>
          <w:sz w:val="24"/>
        </w:rPr>
        <w:t>停车场</w:t>
      </w:r>
      <w:r>
        <w:rPr>
          <w:rFonts w:hint="eastAsia" w:ascii="Times New Roman" w:hAnsi="Times New Roman" w:cs="Times New Roman" w:eastAsiaTheme="minorEastAsia"/>
          <w:sz w:val="24"/>
        </w:rPr>
        <w:t>收费......8</w:t>
      </w:r>
    </w:p>
    <w:p>
      <w:pPr>
        <w:spacing w:line="320" w:lineRule="exact"/>
        <w:jc w:val="center"/>
        <w:rPr>
          <w:rFonts w:ascii="Times New Roman" w:hAnsi="Times New Roman" w:cs="Times New Roman" w:eastAsiaTheme="minorEastAsia"/>
          <w:sz w:val="24"/>
        </w:rPr>
      </w:pPr>
      <w:r>
        <w:rPr>
          <w:rFonts w:hint="eastAsia" w:cs="Times New Roman" w:asciiTheme="minorEastAsia" w:hAnsiTheme="minorEastAsia" w:eastAsiaTheme="minorEastAsia"/>
          <w:sz w:val="24"/>
        </w:rPr>
        <w:t>2.京沪高铁泰安站配套停车场收费标准...9</w:t>
      </w:r>
    </w:p>
    <w:p>
      <w:pPr>
        <w:spacing w:line="460" w:lineRule="exact"/>
        <w:jc w:val="distribute"/>
        <w:rPr>
          <w:rFonts w:ascii="Times New Roman" w:hAnsi="Times New Roman" w:eastAsia="楷体_GB2312" w:cs="Times New Roman"/>
          <w:sz w:val="24"/>
        </w:rPr>
      </w:pPr>
      <w:r>
        <w:rPr>
          <w:rFonts w:ascii="Times New Roman" w:hAnsi="Times New Roman" w:eastAsia="楷体_GB2312" w:cs="Times New Roman"/>
          <w:sz w:val="24"/>
        </w:rPr>
        <w:t>五、教育收费………………………………1</w:t>
      </w:r>
      <w:r>
        <w:rPr>
          <w:rFonts w:hint="eastAsia" w:ascii="Times New Roman" w:hAnsi="Times New Roman" w:eastAsia="楷体_GB2312" w:cs="Times New Roman"/>
          <w:sz w:val="24"/>
        </w:rPr>
        <w:t>0</w:t>
      </w:r>
    </w:p>
    <w:p>
      <w:pPr>
        <w:spacing w:line="460" w:lineRule="exact"/>
        <w:jc w:val="distribute"/>
        <w:rPr>
          <w:rFonts w:ascii="Times New Roman" w:hAnsi="Times New Roman" w:cs="Times New Roman" w:eastAsiaTheme="minorEastAsia"/>
          <w:sz w:val="24"/>
        </w:rPr>
      </w:pP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1.学前教育收费…………………………1</w:t>
      </w:r>
      <w:r>
        <w:rPr>
          <w:rFonts w:hint="eastAsia" w:ascii="Times New Roman" w:hAnsi="Times New Roman" w:cs="Times New Roman" w:eastAsiaTheme="minorEastAsia"/>
          <w:sz w:val="24"/>
        </w:rPr>
        <w:t>0</w:t>
      </w:r>
    </w:p>
    <w:p>
      <w:pPr>
        <w:spacing w:line="460" w:lineRule="exact"/>
        <w:jc w:val="distribute"/>
        <w:rPr>
          <w:rFonts w:ascii="Times New Roman" w:hAnsi="Times New Roman" w:cs="Times New Roman" w:eastAsiaTheme="minorEastAsia"/>
          <w:sz w:val="24"/>
        </w:rPr>
      </w:pP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2.公办高中收费…………………………1</w:t>
      </w:r>
      <w:r>
        <w:rPr>
          <w:rFonts w:hint="eastAsia" w:ascii="Times New Roman" w:hAnsi="Times New Roman" w:cs="Times New Roman" w:eastAsiaTheme="minorEastAsia"/>
          <w:sz w:val="24"/>
        </w:rPr>
        <w:t>0</w:t>
      </w:r>
    </w:p>
    <w:p>
      <w:pPr>
        <w:spacing w:line="460" w:lineRule="exact"/>
        <w:jc w:val="distribute"/>
        <w:rPr>
          <w:rFonts w:ascii="Times New Roman" w:hAnsi="Times New Roman" w:eastAsia="楷体_GB2312" w:cs="Times New Roman"/>
          <w:sz w:val="24"/>
        </w:rPr>
      </w:pPr>
      <w:r>
        <w:rPr>
          <w:rFonts w:ascii="Times New Roman" w:hAnsi="Times New Roman" w:eastAsia="楷体_GB2312" w:cs="Times New Roman"/>
          <w:sz w:val="24"/>
        </w:rPr>
        <w:t>六、</w:t>
      </w:r>
      <w:r>
        <w:rPr>
          <w:rFonts w:hint="eastAsia" w:ascii="Times New Roman" w:hAnsi="Times New Roman" w:eastAsia="楷体_GB2312" w:cs="Times New Roman"/>
          <w:sz w:val="24"/>
        </w:rPr>
        <w:t>普通住宅前期</w:t>
      </w:r>
      <w:r>
        <w:rPr>
          <w:rFonts w:ascii="Times New Roman" w:hAnsi="Times New Roman" w:eastAsia="楷体_GB2312" w:cs="Times New Roman"/>
          <w:sz w:val="24"/>
        </w:rPr>
        <w:t>物业服务收费………1</w:t>
      </w:r>
      <w:r>
        <w:rPr>
          <w:rFonts w:hint="eastAsia" w:ascii="Times New Roman" w:hAnsi="Times New Roman" w:eastAsia="楷体_GB2312" w:cs="Times New Roman"/>
          <w:sz w:val="24"/>
        </w:rPr>
        <w:t>1</w:t>
      </w:r>
    </w:p>
    <w:p>
      <w:pPr>
        <w:spacing w:line="460" w:lineRule="exact"/>
        <w:jc w:val="distribute"/>
        <w:rPr>
          <w:rFonts w:ascii="Times New Roman" w:hAnsi="Times New Roman" w:eastAsia="楷体_GB2312" w:cs="Times New Roman"/>
          <w:sz w:val="24"/>
        </w:rPr>
      </w:pPr>
      <w:r>
        <w:rPr>
          <w:rFonts w:hint="eastAsia" w:cs="Times New Roman" w:asciiTheme="minorEastAsia" w:hAnsiTheme="minorEastAsia" w:eastAsiaTheme="minorEastAsia"/>
          <w:sz w:val="24"/>
        </w:rPr>
        <w:t xml:space="preserve"> 1.物业</w:t>
      </w:r>
      <w:r>
        <w:rPr>
          <w:rFonts w:cs="Times New Roman" w:asciiTheme="minorEastAsia" w:hAnsiTheme="minorEastAsia" w:eastAsiaTheme="minorEastAsia"/>
          <w:sz w:val="24"/>
        </w:rPr>
        <w:t>服务费基准</w:t>
      </w:r>
      <w:r>
        <w:rPr>
          <w:rFonts w:hint="eastAsia" w:cs="Times New Roman" w:asciiTheme="minorEastAsia" w:hAnsiTheme="minorEastAsia" w:eastAsiaTheme="minorEastAsia"/>
          <w:sz w:val="24"/>
        </w:rPr>
        <w:t>价格..............</w:t>
      </w:r>
      <w:r>
        <w:rPr>
          <w:rFonts w:hint="eastAsia" w:ascii="Times New Roman" w:hAnsi="Times New Roman" w:eastAsia="楷体_GB2312" w:cs="Times New Roman"/>
          <w:sz w:val="24"/>
        </w:rPr>
        <w:t>11</w:t>
      </w:r>
    </w:p>
    <w:p>
      <w:pPr>
        <w:spacing w:line="460" w:lineRule="exact"/>
        <w:jc w:val="left"/>
        <w:rPr>
          <w:rFonts w:cs="Times New Roman" w:asciiTheme="minorEastAsia" w:hAnsiTheme="minorEastAsia" w:eastAsiaTheme="minorEastAsia"/>
          <w:sz w:val="24"/>
        </w:rPr>
      </w:pPr>
      <w:r>
        <w:rPr>
          <w:rFonts w:hint="eastAsia" w:ascii="Times New Roman" w:hAnsi="Times New Roman" w:eastAsia="楷体_GB2312" w:cs="Times New Roman"/>
          <w:sz w:val="24"/>
        </w:rPr>
        <w:t xml:space="preserve"> 2.</w:t>
      </w:r>
      <w:r>
        <w:rPr>
          <w:rFonts w:cs="Times New Roman" w:asciiTheme="majorEastAsia" w:hAnsiTheme="majorEastAsia" w:eastAsiaTheme="majorEastAsia"/>
          <w:sz w:val="24"/>
        </w:rPr>
        <w:t xml:space="preserve"> </w:t>
      </w:r>
      <w:r>
        <w:rPr>
          <w:rFonts w:cs="Times New Roman" w:asciiTheme="minorEastAsia" w:hAnsiTheme="minorEastAsia" w:eastAsiaTheme="minorEastAsia"/>
          <w:sz w:val="24"/>
        </w:rPr>
        <w:t>停车、车位租赁</w:t>
      </w:r>
      <w:r>
        <w:rPr>
          <w:rFonts w:hint="eastAsia" w:cs="Times New Roman" w:asciiTheme="minorEastAsia" w:hAnsiTheme="minorEastAsia" w:eastAsiaTheme="minorEastAsia"/>
          <w:sz w:val="24"/>
        </w:rPr>
        <w:t>、</w:t>
      </w:r>
      <w:r>
        <w:rPr>
          <w:rFonts w:cs="Times New Roman" w:asciiTheme="minorEastAsia" w:hAnsiTheme="minorEastAsia" w:eastAsiaTheme="minorEastAsia"/>
          <w:sz w:val="24"/>
        </w:rPr>
        <w:t>车位场地使用费</w:t>
      </w:r>
      <w:r>
        <w:rPr>
          <w:rFonts w:hint="eastAsia" w:cs="Times New Roman" w:asciiTheme="minorEastAsia" w:hAnsiTheme="minorEastAsia" w:eastAsiaTheme="minorEastAsia"/>
          <w:sz w:val="24"/>
        </w:rPr>
        <w:t>...</w:t>
      </w:r>
      <w:r>
        <w:rPr>
          <w:rFonts w:hint="eastAsia" w:ascii="Times New Roman" w:hAnsi="Times New Roman" w:eastAsia="楷体_GB2312" w:cs="Times New Roman"/>
          <w:sz w:val="24"/>
        </w:rPr>
        <w:t>12</w:t>
      </w:r>
    </w:p>
    <w:p>
      <w:pPr>
        <w:spacing w:line="460" w:lineRule="exact"/>
        <w:jc w:val="distribute"/>
        <w:rPr>
          <w:rFonts w:ascii="Times New Roman" w:hAnsi="Times New Roman" w:eastAsia="楷体_GB2312" w:cs="Times New Roman"/>
          <w:sz w:val="24"/>
        </w:rPr>
      </w:pPr>
      <w:r>
        <w:rPr>
          <w:rFonts w:ascii="Times New Roman" w:hAnsi="Times New Roman" w:eastAsia="楷体_GB2312" w:cs="Times New Roman"/>
          <w:sz w:val="24"/>
        </w:rPr>
        <w:t>七、殡葬服务收费…………………………1</w:t>
      </w:r>
      <w:r>
        <w:rPr>
          <w:rFonts w:hint="eastAsia" w:ascii="Times New Roman" w:hAnsi="Times New Roman" w:eastAsia="楷体_GB2312" w:cs="Times New Roman"/>
          <w:sz w:val="24"/>
        </w:rPr>
        <w:t>3</w:t>
      </w:r>
    </w:p>
    <w:p>
      <w:pPr>
        <w:spacing w:line="460" w:lineRule="exact"/>
        <w:jc w:val="distribute"/>
        <w:rPr>
          <w:rFonts w:ascii="Times New Roman" w:hAnsi="Times New Roman" w:eastAsia="楷体_GB2312" w:cs="Times New Roman"/>
          <w:sz w:val="24"/>
        </w:rPr>
      </w:pPr>
      <w:r>
        <w:rPr>
          <w:rFonts w:ascii="Times New Roman" w:hAnsi="Times New Roman" w:eastAsia="楷体_GB2312" w:cs="Times New Roman"/>
          <w:sz w:val="24"/>
        </w:rPr>
        <w:t>八、城市生活垃圾处理费…………………1</w:t>
      </w:r>
      <w:r>
        <w:rPr>
          <w:rFonts w:hint="eastAsia" w:ascii="Times New Roman" w:hAnsi="Times New Roman" w:eastAsia="楷体_GB2312" w:cs="Times New Roman"/>
          <w:sz w:val="24"/>
        </w:rPr>
        <w:t>5</w:t>
      </w:r>
    </w:p>
    <w:p>
      <w:pPr>
        <w:spacing w:line="460" w:lineRule="exact"/>
        <w:jc w:val="distribute"/>
        <w:rPr>
          <w:rFonts w:ascii="Times New Roman" w:hAnsi="Times New Roman" w:eastAsia="楷体_GB2312" w:cs="Times New Roman"/>
          <w:sz w:val="24"/>
        </w:rPr>
      </w:pPr>
      <w:r>
        <w:rPr>
          <w:rFonts w:ascii="Times New Roman" w:hAnsi="Times New Roman" w:eastAsia="楷体_GB2312" w:cs="Times New Roman"/>
          <w:sz w:val="24"/>
        </w:rPr>
        <w:t>九、其他收费………………………………1</w:t>
      </w:r>
      <w:r>
        <w:rPr>
          <w:rFonts w:hint="eastAsia" w:ascii="Times New Roman" w:hAnsi="Times New Roman" w:eastAsia="楷体_GB2312" w:cs="Times New Roman"/>
          <w:sz w:val="24"/>
        </w:rPr>
        <w:t>6</w:t>
      </w:r>
    </w:p>
    <w:p>
      <w:pPr>
        <w:spacing w:line="460" w:lineRule="exact"/>
        <w:jc w:val="distribute"/>
        <w:rPr>
          <w:rFonts w:ascii="Times New Roman" w:hAnsi="Times New Roman" w:cs="Times New Roman" w:eastAsiaTheme="minorEastAsia"/>
          <w:sz w:val="24"/>
        </w:rPr>
      </w:pP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1.养犬管理服务费………………………1</w:t>
      </w:r>
      <w:r>
        <w:rPr>
          <w:rFonts w:hint="eastAsia" w:ascii="Times New Roman" w:hAnsi="Times New Roman" w:cs="Times New Roman" w:eastAsiaTheme="minorEastAsia"/>
          <w:sz w:val="24"/>
        </w:rPr>
        <w:t>6</w:t>
      </w:r>
    </w:p>
    <w:p>
      <w:pPr>
        <w:spacing w:line="460" w:lineRule="exact"/>
        <w:jc w:val="distribute"/>
        <w:rPr>
          <w:rFonts w:ascii="Times New Roman" w:hAnsi="Times New Roman" w:cs="Times New Roman" w:eastAsiaTheme="minorEastAsia"/>
          <w:sz w:val="24"/>
        </w:rPr>
      </w:pP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2.老年大学学费…………………………1</w:t>
      </w:r>
      <w:r>
        <w:rPr>
          <w:rFonts w:hint="eastAsia" w:ascii="Times New Roman" w:hAnsi="Times New Roman" w:cs="Times New Roman" w:eastAsiaTheme="minorEastAsia"/>
          <w:sz w:val="24"/>
        </w:rPr>
        <w:t>6</w:t>
      </w:r>
    </w:p>
    <w:p>
      <w:pPr>
        <w:spacing w:line="460" w:lineRule="exact"/>
        <w:jc w:val="distribute"/>
        <w:rPr>
          <w:rFonts w:ascii="Times New Roman" w:hAnsi="Times New Roman" w:cs="Times New Roman" w:eastAsiaTheme="minorEastAsia"/>
          <w:sz w:val="24"/>
        </w:rPr>
        <w:sectPr>
          <w:pgSz w:w="5954" w:h="10490"/>
          <w:pgMar w:top="851" w:right="680" w:bottom="851" w:left="680" w:header="567" w:footer="567" w:gutter="0"/>
          <w:pgNumType w:start="1"/>
          <w:cols w:space="425" w:num="1"/>
          <w:docGrid w:type="lines" w:linePitch="312" w:charSpace="0"/>
        </w:sectPr>
      </w:pP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3.居民有线数字电视基本收视维护费…1</w:t>
      </w:r>
      <w:r>
        <w:rPr>
          <w:rFonts w:hint="eastAsia" w:ascii="Times New Roman" w:hAnsi="Times New Roman" w:cs="Times New Roman" w:eastAsiaTheme="minorEastAsia"/>
          <w:sz w:val="24"/>
        </w:rPr>
        <w:t>6</w:t>
      </w:r>
    </w:p>
    <w:p>
      <w:pPr>
        <w:spacing w:line="320" w:lineRule="exact"/>
        <w:rPr>
          <w:rFonts w:ascii="Times New Roman" w:hAnsi="Times New Roman" w:eastAsia="黑体" w:cs="Times New Roman"/>
          <w:sz w:val="24"/>
        </w:rPr>
      </w:pPr>
      <w:r>
        <w:rPr>
          <w:rFonts w:ascii="Times New Roman" w:hAnsi="Times New Roman" w:eastAsia="黑体" w:cs="Times New Roman"/>
          <w:sz w:val="24"/>
        </w:rPr>
        <w:t>一、水气热电价格</w:t>
      </w:r>
    </w:p>
    <w:p>
      <w:pPr>
        <w:spacing w:line="160" w:lineRule="exact"/>
        <w:rPr>
          <w:rFonts w:ascii="Times New Roman" w:hAnsi="Times New Roman" w:eastAsia="楷体_GB2312" w:cs="Times New Roman"/>
          <w:sz w:val="32"/>
          <w:szCs w:val="32"/>
        </w:rPr>
      </w:pPr>
    </w:p>
    <w:p>
      <w:pPr>
        <w:spacing w:line="320" w:lineRule="exact"/>
        <w:rPr>
          <w:rFonts w:ascii="Times New Roman" w:hAnsi="Times New Roman" w:eastAsia="楷体_GB2312" w:cs="Times New Roman"/>
          <w:sz w:val="24"/>
        </w:rPr>
      </w:pPr>
      <w:r>
        <w:rPr>
          <w:rFonts w:ascii="Times New Roman" w:hAnsi="Times New Roman" w:eastAsia="楷体_GB2312" w:cs="Times New Roman"/>
          <w:sz w:val="24"/>
        </w:rPr>
        <w:t>1.水价</w:t>
      </w:r>
    </w:p>
    <w:p>
      <w:pPr>
        <w:spacing w:line="320" w:lineRule="exact"/>
        <w:jc w:val="center"/>
        <w:rPr>
          <w:rFonts w:cs="Times New Roman" w:asciiTheme="minorEastAsia" w:hAnsiTheme="minorEastAsia" w:eastAsiaTheme="minorEastAsia"/>
          <w:kern w:val="0"/>
          <w:sz w:val="24"/>
        </w:rPr>
      </w:pPr>
      <w:r>
        <w:rPr>
          <w:rFonts w:cs="Times New Roman" w:asciiTheme="minorEastAsia" w:hAnsiTheme="minorEastAsia" w:eastAsiaTheme="minorEastAsia"/>
          <w:sz w:val="24"/>
        </w:rPr>
        <w:t>泰城供水价格表</w:t>
      </w:r>
    </w:p>
    <w:tbl>
      <w:tblPr>
        <w:tblStyle w:val="11"/>
        <w:tblpPr w:leftFromText="180" w:rightFromText="180" w:vertAnchor="text" w:tblpY="1"/>
        <w:tblOverlap w:val="never"/>
        <w:tblW w:w="48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910"/>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9" w:type="pct"/>
            <w:vMerge w:val="restart"/>
            <w:shd w:val="clear" w:color="auto" w:fill="auto"/>
            <w:vAlign w:val="center"/>
          </w:tcPr>
          <w:p>
            <w:pPr>
              <w:spacing w:line="230" w:lineRule="exact"/>
              <w:ind w:left="-73" w:leftChars="-35" w:right="-73" w:rightChars="-35"/>
              <w:jc w:val="center"/>
              <w:rPr>
                <w:rFonts w:ascii="Times New Roman" w:hAnsi="Times New Roman" w:eastAsia="黑体" w:cs="Times New Roman"/>
                <w:w w:val="95"/>
                <w:sz w:val="20"/>
                <w:szCs w:val="20"/>
              </w:rPr>
            </w:pPr>
            <w:r>
              <w:rPr>
                <w:rFonts w:ascii="Times New Roman" w:hAnsi="Times New Roman" w:eastAsia="黑体" w:cs="Times New Roman"/>
                <w:w w:val="95"/>
                <w:sz w:val="20"/>
                <w:szCs w:val="20"/>
              </w:rPr>
              <w:t>供水</w:t>
            </w:r>
          </w:p>
          <w:p>
            <w:pPr>
              <w:spacing w:line="230" w:lineRule="exact"/>
              <w:ind w:left="-73" w:leftChars="-35" w:right="-73" w:rightChars="-35"/>
              <w:jc w:val="center"/>
              <w:rPr>
                <w:rFonts w:ascii="Times New Roman" w:hAnsi="Times New Roman" w:eastAsia="黑体" w:cs="Times New Roman"/>
                <w:w w:val="95"/>
                <w:sz w:val="20"/>
                <w:szCs w:val="20"/>
              </w:rPr>
            </w:pPr>
            <w:r>
              <w:rPr>
                <w:rFonts w:ascii="Times New Roman" w:hAnsi="Times New Roman" w:eastAsia="黑体" w:cs="Times New Roman"/>
                <w:w w:val="95"/>
                <w:sz w:val="20"/>
                <w:szCs w:val="20"/>
              </w:rPr>
              <w:t>类型</w:t>
            </w:r>
          </w:p>
        </w:tc>
        <w:tc>
          <w:tcPr>
            <w:tcW w:w="923" w:type="pct"/>
            <w:vMerge w:val="restart"/>
            <w:shd w:val="clear" w:color="auto" w:fill="auto"/>
            <w:vAlign w:val="center"/>
          </w:tcPr>
          <w:p>
            <w:pPr>
              <w:spacing w:line="230" w:lineRule="exact"/>
              <w:ind w:left="-73" w:leftChars="-35" w:right="-73" w:rightChars="-35"/>
              <w:jc w:val="center"/>
              <w:rPr>
                <w:rFonts w:ascii="Times New Roman" w:hAnsi="Times New Roman" w:eastAsia="黑体" w:cs="Times New Roman"/>
                <w:w w:val="95"/>
                <w:sz w:val="20"/>
                <w:szCs w:val="20"/>
              </w:rPr>
            </w:pPr>
            <w:r>
              <w:rPr>
                <w:rFonts w:ascii="Times New Roman" w:hAnsi="Times New Roman" w:eastAsia="黑体" w:cs="Times New Roman"/>
                <w:w w:val="95"/>
                <w:sz w:val="20"/>
                <w:szCs w:val="20"/>
              </w:rPr>
              <w:t>阶梯</w:t>
            </w:r>
          </w:p>
          <w:p>
            <w:pPr>
              <w:spacing w:line="230" w:lineRule="exact"/>
              <w:ind w:left="-73" w:leftChars="-35" w:right="-73" w:rightChars="-35"/>
              <w:jc w:val="center"/>
              <w:rPr>
                <w:rFonts w:ascii="Times New Roman" w:hAnsi="Times New Roman" w:eastAsia="黑体" w:cs="Times New Roman"/>
                <w:w w:val="95"/>
                <w:sz w:val="20"/>
                <w:szCs w:val="20"/>
              </w:rPr>
            </w:pPr>
            <w:r>
              <w:rPr>
                <w:rFonts w:ascii="Times New Roman" w:hAnsi="Times New Roman" w:eastAsia="黑体" w:cs="Times New Roman"/>
                <w:w w:val="95"/>
                <w:sz w:val="20"/>
                <w:szCs w:val="20"/>
              </w:rPr>
              <w:t>分类</w:t>
            </w:r>
          </w:p>
        </w:tc>
        <w:tc>
          <w:tcPr>
            <w:tcW w:w="1438" w:type="pct"/>
            <w:vMerge w:val="restart"/>
            <w:shd w:val="clear" w:color="auto" w:fill="auto"/>
            <w:vAlign w:val="center"/>
          </w:tcPr>
          <w:p>
            <w:pPr>
              <w:spacing w:line="230" w:lineRule="exact"/>
              <w:ind w:left="-73" w:leftChars="-35" w:right="-73" w:rightChars="-35"/>
              <w:jc w:val="center"/>
              <w:rPr>
                <w:rFonts w:ascii="Times New Roman" w:hAnsi="Times New Roman" w:eastAsia="黑体" w:cs="Times New Roman"/>
                <w:w w:val="95"/>
                <w:sz w:val="20"/>
                <w:szCs w:val="20"/>
              </w:rPr>
            </w:pPr>
            <w:r>
              <w:rPr>
                <w:rFonts w:ascii="Times New Roman" w:hAnsi="Times New Roman" w:eastAsia="黑体" w:cs="Times New Roman"/>
                <w:w w:val="95"/>
                <w:sz w:val="20"/>
                <w:szCs w:val="20"/>
              </w:rPr>
              <w:t>户年用水量</w:t>
            </w:r>
          </w:p>
          <w:p>
            <w:pPr>
              <w:spacing w:line="230" w:lineRule="exact"/>
              <w:ind w:left="-73" w:leftChars="-35" w:right="-73" w:rightChars="-35"/>
              <w:jc w:val="center"/>
              <w:rPr>
                <w:rFonts w:ascii="Times New Roman" w:hAnsi="Times New Roman" w:eastAsia="黑体" w:cs="Times New Roman"/>
                <w:w w:val="95"/>
                <w:sz w:val="20"/>
                <w:szCs w:val="20"/>
              </w:rPr>
            </w:pPr>
            <w:r>
              <w:rPr>
                <w:rFonts w:ascii="Times New Roman" w:hAnsi="Times New Roman" w:eastAsia="黑体" w:cs="Times New Roman"/>
                <w:w w:val="95"/>
                <w:sz w:val="20"/>
                <w:szCs w:val="20"/>
              </w:rPr>
              <w:t>（单位：立方米）</w:t>
            </w:r>
          </w:p>
        </w:tc>
        <w:tc>
          <w:tcPr>
            <w:tcW w:w="1870" w:type="pct"/>
            <w:vMerge w:val="restart"/>
            <w:shd w:val="clear" w:color="auto" w:fill="auto"/>
            <w:vAlign w:val="center"/>
          </w:tcPr>
          <w:p>
            <w:pPr>
              <w:spacing w:line="230" w:lineRule="exact"/>
              <w:ind w:left="-73" w:leftChars="-35" w:right="-73" w:rightChars="-35"/>
              <w:jc w:val="center"/>
              <w:rPr>
                <w:rFonts w:ascii="Times New Roman" w:hAnsi="Times New Roman" w:eastAsia="黑体" w:cs="Times New Roman"/>
                <w:w w:val="95"/>
                <w:sz w:val="20"/>
                <w:szCs w:val="20"/>
              </w:rPr>
            </w:pPr>
            <w:r>
              <w:rPr>
                <w:rFonts w:hint="eastAsia" w:ascii="Times New Roman" w:hAnsi="Times New Roman" w:eastAsia="黑体" w:cs="Times New Roman"/>
                <w:spacing w:val="-8"/>
                <w:w w:val="95"/>
                <w:sz w:val="20"/>
                <w:szCs w:val="20"/>
              </w:rPr>
              <w:t>到户</w:t>
            </w:r>
            <w:r>
              <w:rPr>
                <w:rFonts w:ascii="Times New Roman" w:hAnsi="Times New Roman" w:eastAsia="黑体" w:cs="Times New Roman"/>
                <w:spacing w:val="-8"/>
                <w:w w:val="95"/>
                <w:sz w:val="20"/>
                <w:szCs w:val="20"/>
              </w:rPr>
              <w:t>水价</w:t>
            </w:r>
            <w:r>
              <w:rPr>
                <w:rFonts w:ascii="Times New Roman" w:hAnsi="Times New Roman" w:eastAsia="黑体" w:cs="Times New Roman"/>
                <w:w w:val="95"/>
                <w:sz w:val="20"/>
                <w:szCs w:val="20"/>
              </w:rPr>
              <w:t>（元/立方米</w:t>
            </w:r>
            <w:r>
              <w:rPr>
                <w:rFonts w:hint="eastAsia" w:ascii="Times New Roman" w:hAnsi="Times New Roman" w:eastAsia="黑体" w:cs="Times New Roman"/>
                <w:w w:val="95"/>
                <w:sz w:val="20"/>
                <w:szCs w:val="20"/>
              </w:rPr>
              <w:t>，</w:t>
            </w:r>
          </w:p>
          <w:p>
            <w:pPr>
              <w:spacing w:line="230" w:lineRule="exact"/>
              <w:ind w:left="-73" w:leftChars="-35" w:right="-73" w:rightChars="-35"/>
              <w:jc w:val="center"/>
              <w:rPr>
                <w:rFonts w:ascii="Times New Roman" w:hAnsi="Times New Roman" w:eastAsia="黑体" w:cs="Times New Roman"/>
                <w:w w:val="95"/>
                <w:sz w:val="20"/>
                <w:szCs w:val="20"/>
              </w:rPr>
            </w:pPr>
            <w:r>
              <w:rPr>
                <w:rFonts w:hint="eastAsia" w:ascii="Times New Roman" w:hAnsi="Times New Roman" w:eastAsia="黑体" w:cs="Times New Roman"/>
                <w:w w:val="95"/>
                <w:sz w:val="20"/>
                <w:szCs w:val="20"/>
              </w:rPr>
              <w:t>含税及污水处理费</w:t>
            </w:r>
            <w:r>
              <w:rPr>
                <w:rFonts w:ascii="Times New Roman" w:hAnsi="Times New Roman" w:eastAsia="黑体" w:cs="Times New Roman"/>
                <w:w w:val="95"/>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69" w:type="pct"/>
            <w:vMerge w:val="continue"/>
            <w:shd w:val="clear" w:color="auto" w:fill="auto"/>
            <w:vAlign w:val="center"/>
          </w:tcPr>
          <w:p>
            <w:pPr>
              <w:spacing w:line="230" w:lineRule="exact"/>
              <w:ind w:left="-73" w:leftChars="-35" w:right="-73" w:rightChars="-35"/>
              <w:jc w:val="center"/>
              <w:rPr>
                <w:rFonts w:ascii="Times New Roman" w:hAnsi="Times New Roman" w:eastAsia="黑体" w:cs="Times New Roman"/>
                <w:w w:val="95"/>
                <w:sz w:val="20"/>
                <w:szCs w:val="20"/>
              </w:rPr>
            </w:pPr>
          </w:p>
        </w:tc>
        <w:tc>
          <w:tcPr>
            <w:tcW w:w="923" w:type="pct"/>
            <w:vMerge w:val="continue"/>
            <w:shd w:val="clear" w:color="auto" w:fill="auto"/>
            <w:vAlign w:val="center"/>
          </w:tcPr>
          <w:p>
            <w:pPr>
              <w:spacing w:line="230" w:lineRule="exact"/>
              <w:ind w:left="-73" w:leftChars="-35" w:right="-73" w:rightChars="-35"/>
              <w:jc w:val="center"/>
              <w:rPr>
                <w:rFonts w:ascii="Times New Roman" w:hAnsi="Times New Roman" w:eastAsia="黑体" w:cs="Times New Roman"/>
                <w:w w:val="95"/>
                <w:sz w:val="20"/>
                <w:szCs w:val="20"/>
              </w:rPr>
            </w:pPr>
          </w:p>
        </w:tc>
        <w:tc>
          <w:tcPr>
            <w:tcW w:w="1438" w:type="pct"/>
            <w:vMerge w:val="continue"/>
            <w:shd w:val="clear" w:color="auto" w:fill="auto"/>
            <w:vAlign w:val="center"/>
          </w:tcPr>
          <w:p>
            <w:pPr>
              <w:spacing w:line="230" w:lineRule="exact"/>
              <w:ind w:left="-73" w:leftChars="-35" w:right="-73" w:rightChars="-35"/>
              <w:jc w:val="center"/>
              <w:rPr>
                <w:rFonts w:ascii="Times New Roman" w:hAnsi="Times New Roman" w:eastAsia="黑体" w:cs="Times New Roman"/>
                <w:w w:val="95"/>
                <w:sz w:val="20"/>
                <w:szCs w:val="20"/>
              </w:rPr>
            </w:pPr>
          </w:p>
        </w:tc>
        <w:tc>
          <w:tcPr>
            <w:tcW w:w="1870" w:type="pct"/>
            <w:vMerge w:val="continue"/>
            <w:shd w:val="clear" w:color="auto" w:fill="auto"/>
            <w:vAlign w:val="center"/>
          </w:tcPr>
          <w:p>
            <w:pPr>
              <w:spacing w:line="230" w:lineRule="exact"/>
              <w:ind w:left="-73" w:leftChars="-35" w:right="-73" w:rightChars="-35"/>
              <w:jc w:val="center"/>
              <w:rPr>
                <w:rFonts w:ascii="Times New Roman" w:hAnsi="Times New Roman" w:eastAsia="黑体" w:cs="Times New Roman"/>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69" w:type="pct"/>
            <w:vMerge w:val="restart"/>
            <w:shd w:val="clear" w:color="auto" w:fill="auto"/>
            <w:vAlign w:val="center"/>
          </w:tcPr>
          <w:p>
            <w:pPr>
              <w:widowControl/>
              <w:spacing w:line="23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居民生</w:t>
            </w:r>
          </w:p>
          <w:p>
            <w:pPr>
              <w:widowControl/>
              <w:spacing w:line="23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活用水</w:t>
            </w:r>
          </w:p>
        </w:tc>
        <w:tc>
          <w:tcPr>
            <w:tcW w:w="923" w:type="pct"/>
            <w:shd w:val="clear" w:color="auto" w:fill="auto"/>
            <w:vAlign w:val="center"/>
          </w:tcPr>
          <w:p>
            <w:pPr>
              <w:widowControl/>
              <w:spacing w:line="23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第一阶梯</w:t>
            </w:r>
          </w:p>
        </w:tc>
        <w:tc>
          <w:tcPr>
            <w:tcW w:w="1438" w:type="pct"/>
            <w:shd w:val="clear" w:color="auto" w:fill="auto"/>
            <w:vAlign w:val="center"/>
          </w:tcPr>
          <w:p>
            <w:pPr>
              <w:widowControl/>
              <w:spacing w:line="23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0-144（含）</w:t>
            </w:r>
          </w:p>
        </w:tc>
        <w:tc>
          <w:tcPr>
            <w:tcW w:w="1870" w:type="pct"/>
            <w:shd w:val="clear" w:color="auto" w:fill="auto"/>
            <w:vAlign w:val="center"/>
          </w:tcPr>
          <w:p>
            <w:pPr>
              <w:widowControl/>
              <w:spacing w:line="23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69" w:type="pct"/>
            <w:vMerge w:val="continue"/>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p>
        </w:tc>
        <w:tc>
          <w:tcPr>
            <w:tcW w:w="923"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kern w:val="0"/>
                <w:sz w:val="20"/>
                <w:szCs w:val="20"/>
              </w:rPr>
              <w:t>第二阶梯</w:t>
            </w:r>
          </w:p>
        </w:tc>
        <w:tc>
          <w:tcPr>
            <w:tcW w:w="1438"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kern w:val="0"/>
                <w:sz w:val="20"/>
                <w:szCs w:val="20"/>
              </w:rPr>
              <w:t>144-240（含）</w:t>
            </w:r>
          </w:p>
        </w:tc>
        <w:tc>
          <w:tcPr>
            <w:tcW w:w="1870"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kern w:val="0"/>
                <w:sz w:val="20"/>
                <w:szCs w:val="20"/>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69" w:type="pct"/>
            <w:vMerge w:val="continue"/>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p>
        </w:tc>
        <w:tc>
          <w:tcPr>
            <w:tcW w:w="923"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kern w:val="0"/>
                <w:sz w:val="20"/>
                <w:szCs w:val="20"/>
              </w:rPr>
              <w:t>第三阶梯</w:t>
            </w:r>
          </w:p>
        </w:tc>
        <w:tc>
          <w:tcPr>
            <w:tcW w:w="1438"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240</w:t>
            </w:r>
          </w:p>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kern w:val="0"/>
                <w:sz w:val="20"/>
                <w:szCs w:val="20"/>
              </w:rPr>
              <w:t>以上</w:t>
            </w:r>
          </w:p>
        </w:tc>
        <w:tc>
          <w:tcPr>
            <w:tcW w:w="1870"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kern w:val="0"/>
                <w:sz w:val="20"/>
                <w:szCs w:val="20"/>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769"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执行居民用水价格的非居民用户</w:t>
            </w:r>
          </w:p>
        </w:tc>
        <w:tc>
          <w:tcPr>
            <w:tcW w:w="923"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p>
        </w:tc>
        <w:tc>
          <w:tcPr>
            <w:tcW w:w="1438"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p>
        </w:tc>
        <w:tc>
          <w:tcPr>
            <w:tcW w:w="1870"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69"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非居民用水</w:t>
            </w:r>
          </w:p>
        </w:tc>
        <w:tc>
          <w:tcPr>
            <w:tcW w:w="923"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p>
        </w:tc>
        <w:tc>
          <w:tcPr>
            <w:tcW w:w="1438"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p>
        </w:tc>
        <w:tc>
          <w:tcPr>
            <w:tcW w:w="1870"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r>
              <w:rPr>
                <w:rFonts w:hint="eastAsia" w:ascii="Times New Roman" w:hAnsi="Times New Roman" w:cs="Times New Roman" w:eastAsiaTheme="minorEastAsia"/>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69"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特种</w:t>
            </w:r>
          </w:p>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用水</w:t>
            </w:r>
          </w:p>
        </w:tc>
        <w:tc>
          <w:tcPr>
            <w:tcW w:w="923"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p>
        </w:tc>
        <w:tc>
          <w:tcPr>
            <w:tcW w:w="1438"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p>
        </w:tc>
        <w:tc>
          <w:tcPr>
            <w:tcW w:w="1870" w:type="pct"/>
            <w:shd w:val="clear" w:color="auto" w:fill="auto"/>
            <w:vAlign w:val="center"/>
          </w:tcPr>
          <w:p>
            <w:pPr>
              <w:spacing w:line="23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4" w:hRule="atLeast"/>
        </w:trPr>
        <w:tc>
          <w:tcPr>
            <w:tcW w:w="5000" w:type="pct"/>
            <w:gridSpan w:val="4"/>
            <w:shd w:val="clear" w:color="auto" w:fill="auto"/>
            <w:vAlign w:val="center"/>
          </w:tcPr>
          <w:p>
            <w:pPr>
              <w:spacing w:line="230" w:lineRule="exact"/>
              <w:ind w:left="-73" w:leftChars="-35" w:right="-73" w:rightChars="-35"/>
              <w:jc w:val="left"/>
              <w:rPr>
                <w:rFonts w:ascii="Times New Roman" w:hAnsi="Times New Roman" w:cs="Times New Roman" w:eastAsiaTheme="minorEastAsia"/>
                <w:sz w:val="20"/>
                <w:szCs w:val="20"/>
              </w:rPr>
            </w:pPr>
            <w:r>
              <w:rPr>
                <w:rFonts w:ascii="Times New Roman" w:hAnsi="Times New Roman" w:cs="Times New Roman" w:eastAsiaTheme="minorEastAsia"/>
                <w:sz w:val="20"/>
                <w:szCs w:val="20"/>
              </w:rPr>
              <w:t>说明</w:t>
            </w:r>
          </w:p>
          <w:p>
            <w:pPr>
              <w:widowControl/>
              <w:spacing w:line="230" w:lineRule="exact"/>
              <w:ind w:left="-73" w:leftChars="-35" w:right="-73" w:rightChars="-35" w:firstLine="400" w:firstLineChars="200"/>
              <w:jc w:val="lef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一、执行居民用水价格的范围：</w:t>
            </w:r>
          </w:p>
          <w:p>
            <w:pPr>
              <w:widowControl/>
              <w:spacing w:line="230" w:lineRule="exact"/>
              <w:ind w:left="-73" w:leftChars="-35" w:right="-73" w:rightChars="-35" w:firstLine="400" w:firstLineChars="200"/>
              <w:jc w:val="lef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1、居民住宅生活用水；</w:t>
            </w:r>
          </w:p>
          <w:p>
            <w:pPr>
              <w:widowControl/>
              <w:spacing w:line="230" w:lineRule="exact"/>
              <w:ind w:left="-73" w:leftChars="-35" w:right="-73" w:rightChars="-35" w:firstLine="400" w:firstLineChars="200"/>
              <w:jc w:val="lef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2、执行居民用水价格的非居民用户：学校、托幼园所、</w:t>
            </w:r>
            <w:r>
              <w:rPr>
                <w:rFonts w:ascii="Times New Roman" w:hAnsi="Times New Roman" w:cs="Times New Roman" w:eastAsiaTheme="minorEastAsia"/>
                <w:spacing w:val="-6"/>
                <w:kern w:val="0"/>
                <w:sz w:val="20"/>
                <w:szCs w:val="20"/>
              </w:rPr>
              <w:t>社区福利机构用水、非盈利性老年服务项目用水、社区居委会</w:t>
            </w:r>
            <w:r>
              <w:rPr>
                <w:rFonts w:ascii="Times New Roman" w:hAnsi="Times New Roman" w:cs="Times New Roman" w:eastAsiaTheme="minorEastAsia"/>
                <w:kern w:val="0"/>
                <w:sz w:val="20"/>
                <w:szCs w:val="20"/>
              </w:rPr>
              <w:t xml:space="preserve">。 </w:t>
            </w:r>
          </w:p>
          <w:p>
            <w:pPr>
              <w:widowControl/>
              <w:spacing w:line="230" w:lineRule="exact"/>
              <w:ind w:left="-73" w:leftChars="-35" w:right="-73" w:rightChars="-35" w:firstLine="400" w:firstLineChars="200"/>
              <w:jc w:val="lef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二、执行非居民用水价格的范围：</w:t>
            </w:r>
          </w:p>
          <w:p>
            <w:pPr>
              <w:widowControl/>
              <w:spacing w:line="230" w:lineRule="exact"/>
              <w:ind w:left="-73" w:leftChars="-35" w:right="-73" w:rightChars="-35" w:firstLine="400" w:firstLineChars="200"/>
              <w:jc w:val="lef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机关团体、工业、经营服务等其他非居民用水。</w:t>
            </w:r>
          </w:p>
          <w:p>
            <w:pPr>
              <w:widowControl/>
              <w:spacing w:line="230" w:lineRule="exact"/>
              <w:ind w:left="-73" w:leftChars="-35" w:right="-73" w:rightChars="-35" w:firstLine="400" w:firstLineChars="200"/>
              <w:jc w:val="lef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三、执行特种用水价格的范围：</w:t>
            </w:r>
          </w:p>
          <w:p>
            <w:pPr>
              <w:widowControl/>
              <w:spacing w:line="230" w:lineRule="exact"/>
              <w:ind w:left="-73" w:leftChars="-35" w:right="-73" w:rightChars="-35" w:firstLine="400" w:firstLineChars="200"/>
              <w:jc w:val="lef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1、纯净水加工业用水；</w:t>
            </w:r>
          </w:p>
          <w:p>
            <w:pPr>
              <w:widowControl/>
              <w:spacing w:line="230" w:lineRule="exact"/>
              <w:ind w:left="-73" w:leftChars="-35" w:right="-73" w:rightChars="-35" w:firstLine="400" w:firstLineChars="200"/>
              <w:jc w:val="lef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2、洗车业用水；</w:t>
            </w:r>
          </w:p>
          <w:p>
            <w:pPr>
              <w:widowControl/>
              <w:spacing w:line="230" w:lineRule="exact"/>
              <w:ind w:left="-73" w:leftChars="-35" w:right="-73" w:rightChars="-35" w:firstLine="400" w:firstLineChars="200"/>
              <w:jc w:val="lef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3、高档洗浴业用水；</w:t>
            </w:r>
          </w:p>
          <w:p>
            <w:pPr>
              <w:spacing w:line="230" w:lineRule="exact"/>
              <w:ind w:left="-73" w:leftChars="-35" w:right="-73" w:rightChars="-35" w:firstLine="400" w:firstLineChars="200"/>
              <w:jc w:val="left"/>
              <w:rPr>
                <w:rFonts w:ascii="Times New Roman" w:hAnsi="Times New Roman" w:cs="Times New Roman" w:eastAsiaTheme="minorEastAsia"/>
                <w:sz w:val="20"/>
                <w:szCs w:val="20"/>
              </w:rPr>
            </w:pPr>
            <w:r>
              <w:rPr>
                <w:rFonts w:ascii="Times New Roman" w:hAnsi="Times New Roman" w:cs="Times New Roman" w:eastAsiaTheme="minorEastAsia"/>
                <w:kern w:val="0"/>
                <w:sz w:val="20"/>
                <w:szCs w:val="20"/>
              </w:rPr>
              <w:t>4、建筑业用水。</w:t>
            </w:r>
          </w:p>
        </w:tc>
      </w:tr>
      <w:bookmarkEnd w:id="0"/>
    </w:tbl>
    <w:p>
      <w:pPr>
        <w:spacing w:line="320" w:lineRule="exact"/>
        <w:rPr>
          <w:rFonts w:ascii="Times New Roman" w:hAnsi="Times New Roman" w:eastAsia="楷体_GB2312" w:cs="Times New Roman"/>
          <w:sz w:val="24"/>
        </w:rPr>
      </w:pPr>
      <w:r>
        <w:rPr>
          <w:rFonts w:ascii="Times New Roman" w:hAnsi="Times New Roman" w:eastAsia="楷体_GB2312" w:cs="Times New Roman"/>
          <w:sz w:val="24"/>
        </w:rPr>
        <w:t>2.气价</w:t>
      </w:r>
    </w:p>
    <w:p>
      <w:pPr>
        <w:spacing w:line="320" w:lineRule="exact"/>
        <w:jc w:val="center"/>
        <w:rPr>
          <w:rFonts w:cs="Times New Roman" w:asciiTheme="minorEastAsia" w:hAnsiTheme="minorEastAsia" w:eastAsiaTheme="minorEastAsia"/>
          <w:sz w:val="24"/>
        </w:rPr>
      </w:pPr>
      <w:r>
        <w:rPr>
          <w:rFonts w:hint="eastAsia" w:cs="Times New Roman" w:asciiTheme="minorEastAsia" w:hAnsiTheme="minorEastAsia" w:eastAsiaTheme="minorEastAsia"/>
          <w:sz w:val="24"/>
        </w:rPr>
        <w:t>居民用</w:t>
      </w:r>
      <w:r>
        <w:rPr>
          <w:rFonts w:cs="Times New Roman" w:asciiTheme="minorEastAsia" w:hAnsiTheme="minorEastAsia" w:eastAsiaTheme="minorEastAsia"/>
          <w:sz w:val="24"/>
        </w:rPr>
        <w:t>泰城管道天然气阶梯价格表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938"/>
        <w:gridCol w:w="954"/>
        <w:gridCol w:w="1138"/>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605" w:type="pct"/>
            <w:gridSpan w:val="2"/>
            <w:shd w:val="clear" w:color="auto" w:fill="auto"/>
            <w:vAlign w:val="center"/>
          </w:tcPr>
          <w:p>
            <w:pPr>
              <w:widowControl/>
              <w:spacing w:line="240" w:lineRule="exact"/>
              <w:ind w:left="-73" w:leftChars="-35" w:right="-73" w:rightChars="-35"/>
              <w:jc w:val="center"/>
              <w:rPr>
                <w:rFonts w:ascii="Times New Roman" w:hAnsi="Times New Roman" w:eastAsia="黑体" w:cs="Times New Roman"/>
                <w:bCs/>
                <w:kern w:val="0"/>
                <w:sz w:val="20"/>
                <w:szCs w:val="20"/>
              </w:rPr>
            </w:pPr>
            <w:r>
              <w:rPr>
                <w:rFonts w:ascii="Times New Roman" w:hAnsi="Times New Roman" w:eastAsia="黑体" w:cs="Times New Roman"/>
                <w:bCs/>
                <w:kern w:val="0"/>
                <w:sz w:val="20"/>
                <w:szCs w:val="20"/>
              </w:rPr>
              <w:t>分  类</w:t>
            </w:r>
          </w:p>
        </w:tc>
        <w:tc>
          <w:tcPr>
            <w:tcW w:w="2076" w:type="pct"/>
            <w:gridSpan w:val="2"/>
            <w:shd w:val="clear" w:color="auto" w:fill="auto"/>
            <w:vAlign w:val="center"/>
          </w:tcPr>
          <w:p>
            <w:pPr>
              <w:widowControl/>
              <w:spacing w:line="240" w:lineRule="exact"/>
              <w:ind w:left="-73" w:leftChars="-35" w:right="-73" w:rightChars="-35"/>
              <w:jc w:val="center"/>
              <w:rPr>
                <w:rFonts w:ascii="Times New Roman" w:hAnsi="Times New Roman" w:eastAsia="黑体" w:cs="Times New Roman"/>
                <w:bCs/>
                <w:kern w:val="0"/>
                <w:sz w:val="20"/>
                <w:szCs w:val="20"/>
              </w:rPr>
            </w:pPr>
            <w:r>
              <w:rPr>
                <w:rFonts w:ascii="Times New Roman" w:hAnsi="Times New Roman" w:eastAsia="黑体" w:cs="Times New Roman"/>
                <w:bCs/>
                <w:kern w:val="0"/>
                <w:sz w:val="20"/>
                <w:szCs w:val="20"/>
              </w:rPr>
              <w:t>户年用气量（立方米）</w:t>
            </w:r>
          </w:p>
        </w:tc>
        <w:tc>
          <w:tcPr>
            <w:tcW w:w="1319" w:type="pct"/>
            <w:shd w:val="clear" w:color="auto" w:fill="auto"/>
            <w:vAlign w:val="center"/>
          </w:tcPr>
          <w:p>
            <w:pPr>
              <w:widowControl/>
              <w:spacing w:line="240" w:lineRule="exact"/>
              <w:ind w:left="-73" w:leftChars="-35" w:right="-73" w:rightChars="-35"/>
              <w:jc w:val="center"/>
              <w:rPr>
                <w:rFonts w:ascii="Times New Roman" w:hAnsi="Times New Roman" w:eastAsia="黑体" w:cs="Times New Roman"/>
                <w:bCs/>
                <w:kern w:val="0"/>
                <w:sz w:val="20"/>
                <w:szCs w:val="20"/>
              </w:rPr>
            </w:pPr>
            <w:r>
              <w:rPr>
                <w:rFonts w:ascii="Times New Roman" w:hAnsi="Times New Roman" w:eastAsia="黑体" w:cs="Times New Roman"/>
                <w:bCs/>
                <w:kern w:val="0"/>
                <w:sz w:val="20"/>
                <w:szCs w:val="20"/>
              </w:rPr>
              <w:t>价格</w:t>
            </w:r>
          </w:p>
          <w:p>
            <w:pPr>
              <w:widowControl/>
              <w:spacing w:line="240" w:lineRule="exact"/>
              <w:ind w:left="-73" w:leftChars="-35" w:right="-73" w:rightChars="-35"/>
              <w:jc w:val="center"/>
              <w:rPr>
                <w:rFonts w:ascii="Times New Roman" w:hAnsi="Times New Roman" w:eastAsia="黑体" w:cs="Times New Roman"/>
                <w:bCs/>
                <w:kern w:val="0"/>
                <w:sz w:val="20"/>
                <w:szCs w:val="20"/>
              </w:rPr>
            </w:pPr>
            <w:r>
              <w:rPr>
                <w:rFonts w:ascii="Times New Roman" w:hAnsi="Times New Roman" w:eastAsia="黑体" w:cs="Times New Roman"/>
                <w:bCs/>
                <w:kern w:val="0"/>
                <w:sz w:val="20"/>
                <w:szCs w:val="20"/>
              </w:rPr>
              <w:t>（元/立方米）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74" w:type="pct"/>
            <w:vMerge w:val="restar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居民</w:t>
            </w:r>
          </w:p>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用户</w:t>
            </w:r>
          </w:p>
        </w:tc>
        <w:tc>
          <w:tcPr>
            <w:tcW w:w="931" w:type="pct"/>
            <w:vMerge w:val="restar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基本生活</w:t>
            </w:r>
          </w:p>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用气</w:t>
            </w:r>
          </w:p>
        </w:tc>
        <w:tc>
          <w:tcPr>
            <w:tcW w:w="946"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第一阶梯</w:t>
            </w:r>
          </w:p>
        </w:tc>
        <w:tc>
          <w:tcPr>
            <w:tcW w:w="1130"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 xml:space="preserve">0-240 </w:t>
            </w:r>
          </w:p>
        </w:tc>
        <w:tc>
          <w:tcPr>
            <w:tcW w:w="1319"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74" w:type="pct"/>
            <w:vMerge w:val="continue"/>
            <w:vAlign w:val="center"/>
          </w:tcPr>
          <w:p>
            <w:pPr>
              <w:widowControl/>
              <w:spacing w:line="240" w:lineRule="exact"/>
              <w:ind w:left="-73" w:leftChars="-35" w:right="-73" w:rightChars="-35"/>
              <w:jc w:val="left"/>
              <w:rPr>
                <w:rFonts w:ascii="Times New Roman" w:hAnsi="Times New Roman" w:cs="Times New Roman" w:eastAsiaTheme="minorEastAsia"/>
                <w:kern w:val="0"/>
                <w:sz w:val="20"/>
                <w:szCs w:val="20"/>
              </w:rPr>
            </w:pPr>
          </w:p>
        </w:tc>
        <w:tc>
          <w:tcPr>
            <w:tcW w:w="931" w:type="pct"/>
            <w:vMerge w:val="continue"/>
            <w:vAlign w:val="center"/>
          </w:tcPr>
          <w:p>
            <w:pPr>
              <w:widowControl/>
              <w:spacing w:line="240" w:lineRule="exact"/>
              <w:ind w:left="-73" w:leftChars="-35" w:right="-73" w:rightChars="-35"/>
              <w:jc w:val="left"/>
              <w:rPr>
                <w:rFonts w:ascii="Times New Roman" w:hAnsi="Times New Roman" w:cs="Times New Roman" w:eastAsiaTheme="minorEastAsia"/>
                <w:kern w:val="0"/>
                <w:sz w:val="20"/>
                <w:szCs w:val="20"/>
              </w:rPr>
            </w:pPr>
          </w:p>
        </w:tc>
        <w:tc>
          <w:tcPr>
            <w:tcW w:w="946"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第二阶梯</w:t>
            </w:r>
          </w:p>
        </w:tc>
        <w:tc>
          <w:tcPr>
            <w:tcW w:w="1130"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 xml:space="preserve">240-360 </w:t>
            </w:r>
          </w:p>
        </w:tc>
        <w:tc>
          <w:tcPr>
            <w:tcW w:w="1319"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74" w:type="pct"/>
            <w:vMerge w:val="continue"/>
            <w:vAlign w:val="center"/>
          </w:tcPr>
          <w:p>
            <w:pPr>
              <w:widowControl/>
              <w:spacing w:line="240" w:lineRule="exact"/>
              <w:ind w:left="-73" w:leftChars="-35" w:right="-73" w:rightChars="-35"/>
              <w:jc w:val="left"/>
              <w:rPr>
                <w:rFonts w:ascii="Times New Roman" w:hAnsi="Times New Roman" w:cs="Times New Roman" w:eastAsiaTheme="minorEastAsia"/>
                <w:kern w:val="0"/>
                <w:sz w:val="20"/>
                <w:szCs w:val="20"/>
              </w:rPr>
            </w:pPr>
          </w:p>
        </w:tc>
        <w:tc>
          <w:tcPr>
            <w:tcW w:w="931" w:type="pct"/>
            <w:vMerge w:val="continue"/>
            <w:vAlign w:val="center"/>
          </w:tcPr>
          <w:p>
            <w:pPr>
              <w:widowControl/>
              <w:spacing w:line="240" w:lineRule="exact"/>
              <w:ind w:left="-73" w:leftChars="-35" w:right="-73" w:rightChars="-35"/>
              <w:jc w:val="left"/>
              <w:rPr>
                <w:rFonts w:ascii="Times New Roman" w:hAnsi="Times New Roman" w:cs="Times New Roman" w:eastAsiaTheme="minorEastAsia"/>
                <w:kern w:val="0"/>
                <w:sz w:val="20"/>
                <w:szCs w:val="20"/>
              </w:rPr>
            </w:pPr>
          </w:p>
        </w:tc>
        <w:tc>
          <w:tcPr>
            <w:tcW w:w="946"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第一阶梯</w:t>
            </w:r>
          </w:p>
        </w:tc>
        <w:tc>
          <w:tcPr>
            <w:tcW w:w="1130"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360以上</w:t>
            </w:r>
          </w:p>
        </w:tc>
        <w:tc>
          <w:tcPr>
            <w:tcW w:w="1319"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4" w:type="pct"/>
            <w:vMerge w:val="continue"/>
            <w:vAlign w:val="center"/>
          </w:tcPr>
          <w:p>
            <w:pPr>
              <w:widowControl/>
              <w:spacing w:line="240" w:lineRule="exact"/>
              <w:ind w:left="-73" w:leftChars="-35" w:right="-73" w:rightChars="-35"/>
              <w:jc w:val="left"/>
              <w:rPr>
                <w:rFonts w:ascii="Times New Roman" w:hAnsi="Times New Roman" w:cs="Times New Roman" w:eastAsiaTheme="minorEastAsia"/>
                <w:kern w:val="0"/>
                <w:sz w:val="20"/>
                <w:szCs w:val="20"/>
              </w:rPr>
            </w:pPr>
          </w:p>
        </w:tc>
        <w:tc>
          <w:tcPr>
            <w:tcW w:w="931" w:type="pct"/>
            <w:vMerge w:val="restar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壁挂炉</w:t>
            </w:r>
          </w:p>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用户</w:t>
            </w:r>
          </w:p>
        </w:tc>
        <w:tc>
          <w:tcPr>
            <w:tcW w:w="946"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第一阶梯</w:t>
            </w:r>
          </w:p>
        </w:tc>
        <w:tc>
          <w:tcPr>
            <w:tcW w:w="1130"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0-800</w:t>
            </w:r>
          </w:p>
        </w:tc>
        <w:tc>
          <w:tcPr>
            <w:tcW w:w="1319"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4" w:type="pct"/>
            <w:vMerge w:val="continue"/>
            <w:vAlign w:val="center"/>
          </w:tcPr>
          <w:p>
            <w:pPr>
              <w:widowControl/>
              <w:spacing w:line="240" w:lineRule="exact"/>
              <w:ind w:left="-73" w:leftChars="-35" w:right="-73" w:rightChars="-35"/>
              <w:jc w:val="left"/>
              <w:rPr>
                <w:rFonts w:ascii="Times New Roman" w:hAnsi="Times New Roman" w:cs="Times New Roman" w:eastAsiaTheme="minorEastAsia"/>
                <w:kern w:val="0"/>
                <w:sz w:val="20"/>
                <w:szCs w:val="20"/>
              </w:rPr>
            </w:pPr>
          </w:p>
        </w:tc>
        <w:tc>
          <w:tcPr>
            <w:tcW w:w="931" w:type="pct"/>
            <w:vMerge w:val="continue"/>
            <w:vAlign w:val="center"/>
          </w:tcPr>
          <w:p>
            <w:pPr>
              <w:widowControl/>
              <w:spacing w:line="240" w:lineRule="exact"/>
              <w:ind w:left="-73" w:leftChars="-35" w:right="-73" w:rightChars="-35"/>
              <w:jc w:val="left"/>
              <w:rPr>
                <w:rFonts w:ascii="Times New Roman" w:hAnsi="Times New Roman" w:cs="Times New Roman" w:eastAsiaTheme="minorEastAsia"/>
                <w:kern w:val="0"/>
                <w:sz w:val="20"/>
                <w:szCs w:val="20"/>
              </w:rPr>
            </w:pPr>
          </w:p>
        </w:tc>
        <w:tc>
          <w:tcPr>
            <w:tcW w:w="946"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第二阶梯</w:t>
            </w:r>
          </w:p>
        </w:tc>
        <w:tc>
          <w:tcPr>
            <w:tcW w:w="1130"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800-1200</w:t>
            </w:r>
          </w:p>
        </w:tc>
        <w:tc>
          <w:tcPr>
            <w:tcW w:w="1319"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74" w:type="pct"/>
            <w:vMerge w:val="continue"/>
            <w:vAlign w:val="center"/>
          </w:tcPr>
          <w:p>
            <w:pPr>
              <w:widowControl/>
              <w:spacing w:line="240" w:lineRule="exact"/>
              <w:ind w:left="-73" w:leftChars="-35" w:right="-73" w:rightChars="-35"/>
              <w:jc w:val="left"/>
              <w:rPr>
                <w:rFonts w:ascii="Times New Roman" w:hAnsi="Times New Roman" w:cs="Times New Roman" w:eastAsiaTheme="minorEastAsia"/>
                <w:kern w:val="0"/>
                <w:sz w:val="20"/>
                <w:szCs w:val="20"/>
              </w:rPr>
            </w:pPr>
          </w:p>
        </w:tc>
        <w:tc>
          <w:tcPr>
            <w:tcW w:w="931" w:type="pct"/>
            <w:vMerge w:val="continue"/>
            <w:vAlign w:val="center"/>
          </w:tcPr>
          <w:p>
            <w:pPr>
              <w:widowControl/>
              <w:spacing w:line="240" w:lineRule="exact"/>
              <w:ind w:left="-73" w:leftChars="-35" w:right="-73" w:rightChars="-35"/>
              <w:jc w:val="left"/>
              <w:rPr>
                <w:rFonts w:ascii="Times New Roman" w:hAnsi="Times New Roman" w:cs="Times New Roman" w:eastAsiaTheme="minorEastAsia"/>
                <w:kern w:val="0"/>
                <w:sz w:val="20"/>
                <w:szCs w:val="20"/>
              </w:rPr>
            </w:pPr>
          </w:p>
        </w:tc>
        <w:tc>
          <w:tcPr>
            <w:tcW w:w="946"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第三阶梯</w:t>
            </w:r>
          </w:p>
        </w:tc>
        <w:tc>
          <w:tcPr>
            <w:tcW w:w="1130"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1200以上</w:t>
            </w:r>
          </w:p>
        </w:tc>
        <w:tc>
          <w:tcPr>
            <w:tcW w:w="1319" w:type="pct"/>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674" w:type="pct"/>
            <w:shd w:val="clear" w:color="auto" w:fill="auto"/>
            <w:noWrap/>
            <w:vAlign w:val="center"/>
          </w:tcPr>
          <w:p>
            <w:pPr>
              <w:widowControl/>
              <w:spacing w:line="30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执行</w:t>
            </w:r>
          </w:p>
          <w:p>
            <w:pPr>
              <w:widowControl/>
              <w:spacing w:line="30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居民气价的非居民用户</w:t>
            </w:r>
          </w:p>
        </w:tc>
        <w:tc>
          <w:tcPr>
            <w:tcW w:w="1878" w:type="pct"/>
            <w:gridSpan w:val="2"/>
            <w:shd w:val="clear" w:color="auto" w:fill="auto"/>
            <w:vAlign w:val="center"/>
          </w:tcPr>
          <w:p>
            <w:pPr>
              <w:topLinePunct/>
              <w:autoSpaceDE w:val="0"/>
              <w:ind w:firstLine="400" w:firstLineChars="200"/>
              <w:rPr>
                <w:rFonts w:ascii="宋体" w:hAnsi="宋体" w:cs="Times New Roman"/>
                <w:kern w:val="0"/>
                <w:sz w:val="20"/>
                <w:szCs w:val="20"/>
              </w:rPr>
            </w:pPr>
            <w:r>
              <w:rPr>
                <w:rFonts w:cs="Times New Roman" w:asciiTheme="minorEastAsia" w:hAnsiTheme="minorEastAsia" w:eastAsiaTheme="minorEastAsia"/>
                <w:kern w:val="0"/>
                <w:sz w:val="20"/>
                <w:szCs w:val="20"/>
              </w:rPr>
              <w:t>执行居民气价的学校、托幼园所和社会福利机构等非居民用气销售价格</w:t>
            </w:r>
            <w:r>
              <w:rPr>
                <w:rFonts w:asciiTheme="minorEastAsia" w:hAnsiTheme="minorEastAsia" w:eastAsiaTheme="minorEastAsia"/>
                <w:color w:val="000000"/>
                <w:sz w:val="20"/>
                <w:szCs w:val="20"/>
              </w:rPr>
              <w:t>（不包括采暖锅炉用气）</w:t>
            </w:r>
          </w:p>
        </w:tc>
        <w:tc>
          <w:tcPr>
            <w:tcW w:w="1130" w:type="pct"/>
            <w:shd w:val="clear" w:color="auto" w:fill="auto"/>
            <w:noWrap/>
            <w:vAlign w:val="center"/>
          </w:tcPr>
          <w:p>
            <w:pPr>
              <w:widowControl/>
              <w:spacing w:line="300" w:lineRule="exact"/>
              <w:ind w:left="-73" w:leftChars="-35" w:right="-73" w:rightChars="-35"/>
              <w:jc w:val="center"/>
              <w:rPr>
                <w:rFonts w:ascii="Times New Roman" w:hAnsi="Times New Roman" w:cs="Times New Roman" w:eastAsiaTheme="minorEastAsia"/>
                <w:kern w:val="0"/>
                <w:sz w:val="20"/>
                <w:szCs w:val="20"/>
              </w:rPr>
            </w:pPr>
          </w:p>
        </w:tc>
        <w:tc>
          <w:tcPr>
            <w:tcW w:w="1319" w:type="pct"/>
            <w:shd w:val="clear" w:color="auto" w:fill="auto"/>
            <w:noWrap/>
            <w:vAlign w:val="center"/>
          </w:tcPr>
          <w:p>
            <w:pPr>
              <w:widowControl/>
              <w:spacing w:line="30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trPr>
        <w:tc>
          <w:tcPr>
            <w:tcW w:w="674" w:type="pct"/>
            <w:shd w:val="clear" w:color="auto" w:fill="auto"/>
            <w:noWrap/>
            <w:vAlign w:val="center"/>
          </w:tcPr>
          <w:p>
            <w:pPr>
              <w:widowControl/>
              <w:spacing w:line="300" w:lineRule="exact"/>
              <w:ind w:left="-73" w:leftChars="-35" w:right="-73" w:rightChars="-35"/>
              <w:jc w:val="center"/>
              <w:rPr>
                <w:rFonts w:ascii="Times New Roman" w:hAnsi="Times New Roman" w:cs="Times New Roman" w:eastAsiaTheme="minorEastAsia"/>
                <w:kern w:val="0"/>
                <w:sz w:val="20"/>
                <w:szCs w:val="20"/>
              </w:rPr>
            </w:pPr>
            <w:r>
              <w:rPr>
                <w:rFonts w:hint="eastAsia" w:ascii="Times New Roman" w:hAnsi="Times New Roman" w:cs="Times New Roman" w:eastAsiaTheme="minorEastAsia"/>
                <w:kern w:val="0"/>
                <w:sz w:val="20"/>
                <w:szCs w:val="20"/>
              </w:rPr>
              <w:t>低收入群体</w:t>
            </w:r>
          </w:p>
          <w:p>
            <w:pPr>
              <w:widowControl/>
              <w:spacing w:line="300" w:lineRule="exact"/>
              <w:ind w:left="-73" w:leftChars="-35" w:right="-73" w:rightChars="-35"/>
              <w:jc w:val="center"/>
              <w:rPr>
                <w:rFonts w:ascii="Times New Roman" w:hAnsi="Times New Roman" w:cs="Times New Roman" w:eastAsiaTheme="minorEastAsia"/>
                <w:kern w:val="0"/>
                <w:sz w:val="20"/>
                <w:szCs w:val="20"/>
              </w:rPr>
            </w:pPr>
            <w:r>
              <w:rPr>
                <w:rFonts w:hint="eastAsia" w:ascii="Times New Roman" w:hAnsi="Times New Roman" w:cs="Times New Roman" w:eastAsiaTheme="minorEastAsia"/>
                <w:kern w:val="0"/>
                <w:sz w:val="20"/>
                <w:szCs w:val="20"/>
              </w:rPr>
              <w:t>用户</w:t>
            </w:r>
          </w:p>
        </w:tc>
        <w:tc>
          <w:tcPr>
            <w:tcW w:w="4326" w:type="pct"/>
            <w:gridSpan w:val="4"/>
            <w:shd w:val="clear" w:color="auto" w:fill="auto"/>
            <w:vAlign w:val="center"/>
          </w:tcPr>
          <w:p>
            <w:pPr>
              <w:topLinePunct/>
              <w:autoSpaceDE w:val="0"/>
              <w:ind w:firstLine="400" w:firstLineChars="200"/>
              <w:rPr>
                <w:rFonts w:cs="Times New Roman" w:asciiTheme="minorEastAsia" w:hAnsiTheme="minorEastAsia" w:eastAsiaTheme="minorEastAsia"/>
                <w:kern w:val="0"/>
                <w:sz w:val="20"/>
                <w:szCs w:val="20"/>
              </w:rPr>
            </w:pPr>
            <w:r>
              <w:rPr>
                <w:rFonts w:cs="Times New Roman" w:asciiTheme="minorEastAsia" w:hAnsiTheme="minorEastAsia" w:eastAsiaTheme="minorEastAsia"/>
                <w:kern w:val="0"/>
                <w:sz w:val="20"/>
                <w:szCs w:val="20"/>
              </w:rPr>
              <w:t>（一）对持有《泰安市特困职工证》的居民家庭，每月减免6立方米第一阶梯燃气费用，使用燃气壁挂炉采暖的特困职工家庭，按照第一阶梯气价执行每立方米2.76元。</w:t>
            </w:r>
          </w:p>
          <w:p>
            <w:pPr>
              <w:topLinePunct/>
              <w:autoSpaceDE w:val="0"/>
              <w:ind w:firstLine="400" w:firstLineChars="200"/>
              <w:rPr>
                <w:rFonts w:cs="Times New Roman" w:asciiTheme="minorEastAsia" w:hAnsiTheme="minorEastAsia" w:eastAsiaTheme="minorEastAsia"/>
                <w:kern w:val="0"/>
                <w:sz w:val="20"/>
                <w:szCs w:val="20"/>
              </w:rPr>
            </w:pPr>
            <w:r>
              <w:rPr>
                <w:rFonts w:cs="Times New Roman" w:asciiTheme="minorEastAsia" w:hAnsiTheme="minorEastAsia" w:eastAsiaTheme="minorEastAsia"/>
                <w:kern w:val="0"/>
                <w:sz w:val="20"/>
                <w:szCs w:val="20"/>
              </w:rPr>
              <w:t>（二）对同时持有由市直、各区（包括泰山景区、泰安高新区）民政部门出具的低保证明和《城市居民最低生活保障证》的居民家庭，超过第一阶梯部分按第二阶梯气价执行，不执行第三阶梯气价。</w:t>
            </w:r>
          </w:p>
        </w:tc>
      </w:tr>
    </w:tbl>
    <w:p>
      <w:pPr>
        <w:wordWrap w:val="0"/>
        <w:spacing w:line="340" w:lineRule="exact"/>
        <w:ind w:firstLine="360" w:firstLineChars="200"/>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注：工商业户用管道天然气执行政府指导价格，由市、县发改部门依据上下游价格联动办法调整价格；各加气站销售的车用天然气价格由经营者依据购进价格和市场需求自主定价。</w:t>
      </w:r>
    </w:p>
    <w:p>
      <w:pPr>
        <w:spacing w:line="320" w:lineRule="exact"/>
        <w:rPr>
          <w:rFonts w:ascii="Times New Roman" w:hAnsi="Times New Roman" w:eastAsia="楷体_GB2312" w:cs="Times New Roman"/>
          <w:sz w:val="24"/>
        </w:rPr>
      </w:pPr>
      <w:r>
        <w:rPr>
          <w:rFonts w:ascii="Times New Roman" w:hAnsi="Times New Roman" w:eastAsia="楷体_GB2312" w:cs="Times New Roman"/>
          <w:sz w:val="24"/>
        </w:rPr>
        <w:t>3.热价</w:t>
      </w:r>
    </w:p>
    <w:p>
      <w:pPr>
        <w:spacing w:line="320" w:lineRule="exact"/>
        <w:jc w:val="center"/>
        <w:rPr>
          <w:rFonts w:cs="Times New Roman" w:asciiTheme="minorEastAsia" w:hAnsiTheme="minorEastAsia" w:eastAsiaTheme="minorEastAsia"/>
          <w:sz w:val="24"/>
        </w:rPr>
      </w:pPr>
      <w:r>
        <w:rPr>
          <w:rFonts w:cs="Times New Roman" w:asciiTheme="minorEastAsia" w:hAnsiTheme="minorEastAsia" w:eastAsiaTheme="minorEastAsia"/>
          <w:sz w:val="24"/>
        </w:rPr>
        <w:t>泰城集中供热价格表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670"/>
        <w:gridCol w:w="814"/>
        <w:gridCol w:w="62"/>
        <w:gridCol w:w="887"/>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165"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73" w:leftChars="-35" w:right="-73" w:rightChars="-35"/>
              <w:jc w:val="center"/>
              <w:rPr>
                <w:rFonts w:ascii="Times New Roman" w:hAnsi="Times New Roman" w:eastAsia="黑体" w:cs="Times New Roman"/>
                <w:bCs/>
                <w:sz w:val="20"/>
                <w:szCs w:val="20"/>
              </w:rPr>
            </w:pPr>
            <w:r>
              <w:rPr>
                <w:rFonts w:ascii="Times New Roman" w:hAnsi="Times New Roman" w:eastAsia="黑体" w:cs="Times New Roman"/>
                <w:bCs/>
                <w:sz w:val="20"/>
                <w:szCs w:val="20"/>
              </w:rPr>
              <w:t>类别及计费方式</w:t>
            </w:r>
          </w:p>
        </w:tc>
        <w:tc>
          <w:tcPr>
            <w:tcW w:w="1750"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73" w:leftChars="-35" w:right="-73" w:rightChars="-35"/>
              <w:jc w:val="center"/>
              <w:rPr>
                <w:rFonts w:ascii="Times New Roman" w:hAnsi="Times New Roman" w:eastAsia="黑体" w:cs="Times New Roman"/>
                <w:bCs/>
                <w:sz w:val="20"/>
                <w:szCs w:val="20"/>
              </w:rPr>
            </w:pPr>
            <w:r>
              <w:rPr>
                <w:rFonts w:ascii="Times New Roman" w:hAnsi="Times New Roman" w:eastAsia="黑体" w:cs="Times New Roman"/>
                <w:bCs/>
                <w:sz w:val="20"/>
                <w:szCs w:val="20"/>
              </w:rPr>
              <w:t>采暖用热价格</w:t>
            </w:r>
          </w:p>
        </w:tc>
        <w:tc>
          <w:tcPr>
            <w:tcW w:w="20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73" w:leftChars="-35" w:right="-73" w:rightChars="-35"/>
              <w:jc w:val="center"/>
              <w:rPr>
                <w:rFonts w:ascii="Times New Roman" w:hAnsi="Times New Roman" w:eastAsia="黑体" w:cs="Times New Roman"/>
                <w:bCs/>
                <w:sz w:val="20"/>
                <w:szCs w:val="20"/>
              </w:rPr>
            </w:pPr>
            <w:r>
              <w:rPr>
                <w:rFonts w:ascii="Times New Roman" w:hAnsi="Times New Roman" w:eastAsia="黑体" w:cs="Times New Roman"/>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8" w:hRule="atLeast"/>
        </w:trPr>
        <w:tc>
          <w:tcPr>
            <w:tcW w:w="500" w:type="pct"/>
            <w:vMerge w:val="restart"/>
            <w:tcBorders>
              <w:top w:val="single" w:color="auto" w:sz="4" w:space="0"/>
              <w:left w:val="single" w:color="auto" w:sz="4" w:space="0"/>
              <w:right w:val="single" w:color="auto" w:sz="4" w:space="0"/>
            </w:tcBorders>
            <w:vAlign w:val="center"/>
          </w:tcPr>
          <w:p>
            <w:pPr>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居民</w:t>
            </w:r>
          </w:p>
          <w:p>
            <w:pPr>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采暖</w:t>
            </w:r>
          </w:p>
        </w:tc>
        <w:tc>
          <w:tcPr>
            <w:tcW w:w="664" w:type="pct"/>
            <w:tcBorders>
              <w:top w:val="single" w:color="auto" w:sz="4" w:space="0"/>
              <w:left w:val="single" w:color="auto" w:sz="4" w:space="0"/>
              <w:right w:val="single" w:color="auto" w:sz="4" w:space="0"/>
            </w:tcBorders>
            <w:vAlign w:val="center"/>
          </w:tcPr>
          <w:p>
            <w:pPr>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按面积计费</w:t>
            </w:r>
          </w:p>
        </w:tc>
        <w:tc>
          <w:tcPr>
            <w:tcW w:w="1750" w:type="pct"/>
            <w:gridSpan w:val="3"/>
            <w:tcBorders>
              <w:top w:val="single" w:color="auto" w:sz="4" w:space="0"/>
              <w:left w:val="single" w:color="auto" w:sz="4" w:space="0"/>
              <w:right w:val="single" w:color="auto" w:sz="4" w:space="0"/>
            </w:tcBorders>
            <w:vAlign w:val="center"/>
          </w:tcPr>
          <w:p>
            <w:pPr>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23元/平方米</w:t>
            </w:r>
          </w:p>
          <w:p>
            <w:pPr>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（按房产证建筑</w:t>
            </w:r>
          </w:p>
          <w:p>
            <w:pPr>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面积计）</w:t>
            </w:r>
          </w:p>
        </w:tc>
        <w:tc>
          <w:tcPr>
            <w:tcW w:w="2085" w:type="pct"/>
            <w:tcBorders>
              <w:top w:val="single" w:color="auto" w:sz="4" w:space="0"/>
              <w:left w:val="single" w:color="auto" w:sz="4" w:space="0"/>
              <w:right w:val="single" w:color="auto" w:sz="4" w:space="0"/>
            </w:tcBorders>
            <w:vAlign w:val="center"/>
          </w:tcPr>
          <w:p>
            <w:pPr>
              <w:spacing w:line="240" w:lineRule="exact"/>
              <w:ind w:left="-73" w:leftChars="-35" w:right="-73" w:rightChars="-35"/>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对持有我市《城市居民最低生活保障证》或《泰安市特困职工证》的居民家庭供热到户价格每平方米20.4元；城乡社区居民委员会的工作场所及非经营公益服务设施，养老机构等社会福利场所的生活服务设施，中小学（含托幼园所）教学设施和学生生活服务设施，城乡居民住宅小区公共场所非经营性服务设施，用热价格执行居民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trPr>
        <w:tc>
          <w:tcPr>
            <w:tcW w:w="500" w:type="pct"/>
            <w:vMerge w:val="continue"/>
            <w:tcBorders>
              <w:left w:val="single" w:color="auto" w:sz="4" w:space="0"/>
              <w:bottom w:val="single" w:color="auto" w:sz="4" w:space="0"/>
              <w:right w:val="single" w:color="auto" w:sz="4" w:space="0"/>
            </w:tcBorders>
          </w:tcPr>
          <w:p>
            <w:pPr>
              <w:spacing w:line="240" w:lineRule="exact"/>
              <w:ind w:left="-73" w:leftChars="-35" w:right="-73" w:rightChars="-35"/>
              <w:jc w:val="center"/>
              <w:rPr>
                <w:rFonts w:ascii="Times New Roman" w:hAnsi="Times New Roman" w:cs="Times New Roman" w:eastAsiaTheme="majorEastAsia"/>
                <w:sz w:val="20"/>
                <w:szCs w:val="20"/>
              </w:rPr>
            </w:pPr>
          </w:p>
        </w:tc>
        <w:tc>
          <w:tcPr>
            <w:tcW w:w="664" w:type="pct"/>
            <w:tcBorders>
              <w:top w:val="single" w:color="auto" w:sz="4" w:space="0"/>
              <w:left w:val="single" w:color="auto" w:sz="4" w:space="0"/>
              <w:right w:val="single" w:color="auto" w:sz="4" w:space="0"/>
            </w:tcBorders>
            <w:vAlign w:val="center"/>
          </w:tcPr>
          <w:p>
            <w:pPr>
              <w:spacing w:line="240" w:lineRule="exact"/>
              <w:ind w:left="-73" w:leftChars="-35" w:right="-73" w:rightChars="-35"/>
              <w:jc w:val="center"/>
              <w:rPr>
                <w:rFonts w:ascii="Times New Roman" w:hAnsi="Times New Roman" w:cs="Times New Roman" w:eastAsiaTheme="majorEastAsia"/>
                <w:sz w:val="20"/>
                <w:szCs w:val="20"/>
              </w:rPr>
            </w:pPr>
            <w:r>
              <w:rPr>
                <w:rFonts w:ascii="Times New Roman" w:hAnsi="Times New Roman" w:cs="Times New Roman" w:eastAsiaTheme="majorEastAsia"/>
                <w:sz w:val="20"/>
                <w:szCs w:val="20"/>
              </w:rPr>
              <w:t>分户</w:t>
            </w:r>
          </w:p>
          <w:p>
            <w:pPr>
              <w:spacing w:line="240" w:lineRule="exact"/>
              <w:ind w:left="-73" w:leftChars="-35" w:right="-73" w:rightChars="-35"/>
              <w:jc w:val="center"/>
              <w:rPr>
                <w:rFonts w:ascii="Times New Roman" w:hAnsi="Times New Roman" w:cs="Times New Roman" w:eastAsiaTheme="majorEastAsia"/>
                <w:sz w:val="20"/>
                <w:szCs w:val="20"/>
              </w:rPr>
            </w:pPr>
            <w:r>
              <w:rPr>
                <w:rFonts w:ascii="Times New Roman" w:hAnsi="Times New Roman" w:cs="Times New Roman" w:eastAsiaTheme="majorEastAsia"/>
                <w:sz w:val="20"/>
                <w:szCs w:val="20"/>
              </w:rPr>
              <w:t>计量</w:t>
            </w:r>
          </w:p>
        </w:tc>
        <w:tc>
          <w:tcPr>
            <w:tcW w:w="808" w:type="pct"/>
            <w:tcBorders>
              <w:top w:val="single" w:color="auto" w:sz="4" w:space="0"/>
              <w:left w:val="single" w:color="auto" w:sz="4" w:space="0"/>
              <w:right w:val="single" w:color="auto" w:sz="4" w:space="0"/>
            </w:tcBorders>
            <w:vAlign w:val="center"/>
          </w:tcPr>
          <w:p>
            <w:pPr>
              <w:spacing w:line="240" w:lineRule="exact"/>
              <w:ind w:left="-105" w:leftChars="-50" w:right="-105" w:rightChars="-50"/>
              <w:jc w:val="left"/>
              <w:rPr>
                <w:rFonts w:ascii="Times New Roman" w:hAnsi="Times New Roman" w:cs="Times New Roman" w:eastAsiaTheme="majorEastAsia"/>
                <w:sz w:val="20"/>
                <w:szCs w:val="20"/>
              </w:rPr>
            </w:pPr>
            <w:r>
              <w:rPr>
                <w:rFonts w:ascii="Times New Roman" w:hAnsi="Times New Roman" w:cs="Times New Roman" w:eastAsiaTheme="majorEastAsia"/>
                <w:spacing w:val="-12"/>
                <w:sz w:val="20"/>
                <w:szCs w:val="20"/>
              </w:rPr>
              <w:t>基本热价：</w:t>
            </w:r>
            <w:r>
              <w:rPr>
                <w:rFonts w:ascii="Times New Roman" w:hAnsi="Times New Roman" w:cs="Times New Roman" w:eastAsiaTheme="majorEastAsia"/>
                <w:sz w:val="20"/>
                <w:szCs w:val="20"/>
              </w:rPr>
              <w:t>6.9元/</w:t>
            </w:r>
            <w:r>
              <w:rPr>
                <w:rFonts w:hint="eastAsia" w:ascii="Times New Roman" w:hAnsi="Times New Roman" w:cs="Times New Roman" w:eastAsiaTheme="majorEastAsia"/>
                <w:sz w:val="20"/>
                <w:szCs w:val="20"/>
              </w:rPr>
              <w:t>平</w:t>
            </w:r>
            <w:r>
              <w:rPr>
                <w:rFonts w:ascii="Times New Roman" w:hAnsi="Times New Roman" w:cs="Times New Roman" w:eastAsiaTheme="majorEastAsia"/>
                <w:sz w:val="20"/>
                <w:szCs w:val="20"/>
              </w:rPr>
              <w:t>方米</w:t>
            </w:r>
          </w:p>
        </w:tc>
        <w:tc>
          <w:tcPr>
            <w:tcW w:w="942"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73" w:leftChars="-35" w:right="-73" w:rightChars="-35"/>
              <w:rPr>
                <w:rFonts w:ascii="Times New Roman" w:hAnsi="Times New Roman" w:cs="Times New Roman" w:eastAsiaTheme="majorEastAsia"/>
                <w:spacing w:val="-8"/>
                <w:sz w:val="20"/>
                <w:szCs w:val="20"/>
              </w:rPr>
            </w:pPr>
            <w:r>
              <w:rPr>
                <w:rFonts w:ascii="Times New Roman" w:hAnsi="Times New Roman" w:cs="Times New Roman" w:eastAsiaTheme="majorEastAsia"/>
                <w:spacing w:val="-8"/>
                <w:sz w:val="20"/>
                <w:szCs w:val="20"/>
              </w:rPr>
              <w:t>计量热价：0.172元/千瓦时（47.78元/吉焦）</w:t>
            </w:r>
          </w:p>
        </w:tc>
        <w:tc>
          <w:tcPr>
            <w:tcW w:w="2085" w:type="pct"/>
            <w:tcBorders>
              <w:left w:val="single" w:color="auto" w:sz="4" w:space="0"/>
              <w:bottom w:val="single" w:color="auto" w:sz="4" w:space="0"/>
              <w:right w:val="single" w:color="auto" w:sz="4" w:space="0"/>
            </w:tcBorders>
            <w:vAlign w:val="center"/>
          </w:tcPr>
          <w:p>
            <w:pPr>
              <w:spacing w:line="240" w:lineRule="exact"/>
              <w:ind w:left="-73" w:leftChars="-35" w:right="-73" w:rightChars="-35"/>
              <w:rPr>
                <w:rFonts w:ascii="Times New Roman" w:hAnsi="Times New Roman" w:cs="Times New Roman" w:eastAsiaTheme="majorEastAsia"/>
                <w:sz w:val="20"/>
                <w:szCs w:val="20"/>
              </w:rPr>
            </w:pPr>
            <w:r>
              <w:rPr>
                <w:rFonts w:ascii="Times New Roman" w:hAnsi="Times New Roman" w:cs="Times New Roman" w:eastAsiaTheme="majorEastAsia"/>
                <w:kern w:val="0"/>
                <w:sz w:val="20"/>
                <w:szCs w:val="20"/>
              </w:rPr>
              <w:t>供热计量价格实行两部制热价，即基本热价加计量热价。基本热价按房屋面积热价的30%计收，计量热价按计量表装置读数收取。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trPr>
        <w:tc>
          <w:tcPr>
            <w:tcW w:w="500"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非居民采暖</w:t>
            </w:r>
          </w:p>
        </w:tc>
        <w:tc>
          <w:tcPr>
            <w:tcW w:w="664" w:type="pct"/>
            <w:tcBorders>
              <w:top w:val="single" w:color="auto" w:sz="4" w:space="0"/>
              <w:left w:val="single" w:color="auto" w:sz="4" w:space="0"/>
              <w:right w:val="single" w:color="auto" w:sz="4" w:space="0"/>
            </w:tcBorders>
            <w:vAlign w:val="center"/>
          </w:tcPr>
          <w:p>
            <w:pPr>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按面积计费</w:t>
            </w:r>
          </w:p>
        </w:tc>
        <w:tc>
          <w:tcPr>
            <w:tcW w:w="1750" w:type="pct"/>
            <w:gridSpan w:val="3"/>
            <w:tcBorders>
              <w:left w:val="single" w:color="auto" w:sz="4" w:space="0"/>
              <w:right w:val="single" w:color="auto" w:sz="4" w:space="0"/>
            </w:tcBorders>
            <w:vAlign w:val="center"/>
          </w:tcPr>
          <w:p>
            <w:pPr>
              <w:spacing w:line="240" w:lineRule="exact"/>
              <w:ind w:left="-73" w:leftChars="-35" w:right="-73" w:rightChars="-35"/>
              <w:jc w:val="left"/>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最高限价33.6元/平方米</w:t>
            </w:r>
          </w:p>
          <w:p>
            <w:pPr>
              <w:spacing w:line="240" w:lineRule="exact"/>
              <w:ind w:left="-105" w:leftChars="-50" w:right="-105" w:rightChars="-50"/>
              <w:jc w:val="left"/>
              <w:rPr>
                <w:rFonts w:ascii="Times New Roman" w:hAnsi="Times New Roman" w:cs="Times New Roman" w:eastAsiaTheme="majorEastAsia"/>
                <w:spacing w:val="-6"/>
                <w:kern w:val="0"/>
                <w:sz w:val="20"/>
                <w:szCs w:val="20"/>
              </w:rPr>
            </w:pPr>
            <w:r>
              <w:rPr>
                <w:rFonts w:ascii="Times New Roman" w:hAnsi="Times New Roman" w:cs="Times New Roman" w:eastAsiaTheme="majorEastAsia"/>
                <w:spacing w:val="-6"/>
                <w:kern w:val="0"/>
                <w:sz w:val="20"/>
                <w:szCs w:val="20"/>
              </w:rPr>
              <w:t>（</w:t>
            </w:r>
            <w:r>
              <w:rPr>
                <w:rFonts w:ascii="Times New Roman" w:hAnsi="Times New Roman" w:cs="Times New Roman" w:eastAsiaTheme="majorEastAsia"/>
                <w:kern w:val="0"/>
                <w:sz w:val="20"/>
                <w:szCs w:val="20"/>
              </w:rPr>
              <w:t>按房产证建筑面积计）</w:t>
            </w:r>
          </w:p>
        </w:tc>
        <w:tc>
          <w:tcPr>
            <w:tcW w:w="2085"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73" w:leftChars="-35" w:right="-73" w:rightChars="-35"/>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876300</wp:posOffset>
                      </wp:positionH>
                      <wp:positionV relativeFrom="paragraph">
                        <wp:posOffset>1809750</wp:posOffset>
                      </wp:positionV>
                      <wp:extent cx="320040" cy="251460"/>
                      <wp:effectExtent l="9525" t="9525" r="13335" b="5715"/>
                      <wp:wrapNone/>
                      <wp:docPr id="4" name="Rectangle 6"/>
                      <wp:cNvGraphicFramePr/>
                      <a:graphic xmlns:a="http://schemas.openxmlformats.org/drawingml/2006/main">
                        <a:graphicData uri="http://schemas.microsoft.com/office/word/2010/wordprocessingShape">
                          <wps:wsp>
                            <wps:cNvSpPr>
                              <a:spLocks noChangeArrowheads="1"/>
                            </wps:cNvSpPr>
                            <wps:spPr bwMode="auto">
                              <a:xfrm>
                                <a:off x="0" y="0"/>
                                <a:ext cx="320040" cy="251460"/>
                              </a:xfrm>
                              <a:prstGeom prst="rect">
                                <a:avLst/>
                              </a:prstGeom>
                              <a:solidFill>
                                <a:srgbClr val="FFFFFF"/>
                              </a:solidFill>
                              <a:ln w="9525">
                                <a:solidFill>
                                  <a:schemeClr val="bg1">
                                    <a:lumMod val="100000"/>
                                    <a:lumOff val="0"/>
                                  </a:schemeClr>
                                </a:solidFill>
                                <a:miter lim="800000"/>
                              </a:ln>
                            </wps:spPr>
                            <wps:txbx>
                              <w:txbxContent>
                                <w:p>
                                  <w:pPr>
                                    <w:rPr>
                                      <w:sz w:val="18"/>
                                      <w:szCs w:val="18"/>
                                    </w:rPr>
                                  </w:pPr>
                                  <w:r>
                                    <w:rPr>
                                      <w:rFonts w:hint="eastAsia"/>
                                      <w:sz w:val="18"/>
                                      <w:szCs w:val="18"/>
                                    </w:rPr>
                                    <w:t>.1.</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69pt;margin-top:142.5pt;height:19.8pt;width:25.2pt;z-index:251659264;mso-width-relative:page;mso-height-relative:page;" fillcolor="#FFFFFF" filled="t" stroked="t" coordsize="21600,21600" o:gfxdata="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a9i72AAAAAsBAAAPAAAAAAAAAAEAIAAA&#10;ACIAAABkcnMvZG93bnJldi54bWxQSwECFAAUAAAACACHTuJArcc4nUUCAACyBAAADgAAAAAAAAAB&#10;ACAAAAAnAQAAZHJzL2Uyb0RvYy54bWxQSwUGAAAAAAYABgBZAQAA3gUAAAAA&#10;">
                      <v:fill on="t" focussize="0,0"/>
                      <v:stroke color="#FFFFFF [3228]" miterlimit="8" joinstyle="miter"/>
                      <v:imagedata o:title=""/>
                      <o:lock v:ext="edit" aspectratio="f"/>
                      <v:textbox>
                        <w:txbxContent>
                          <w:p>
                            <w:pPr>
                              <w:rPr>
                                <w:sz w:val="18"/>
                                <w:szCs w:val="18"/>
                              </w:rPr>
                            </w:pPr>
                            <w:r>
                              <w:rPr>
                                <w:rFonts w:hint="eastAsia"/>
                                <w:sz w:val="18"/>
                                <w:szCs w:val="18"/>
                              </w:rPr>
                              <w:t>.1.</w:t>
                            </w: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trPr>
        <w:tc>
          <w:tcPr>
            <w:tcW w:w="50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73" w:leftChars="-35" w:right="-73" w:rightChars="-35"/>
              <w:jc w:val="center"/>
              <w:rPr>
                <w:rFonts w:ascii="Times New Roman" w:hAnsi="Times New Roman" w:cs="Times New Roman" w:eastAsiaTheme="majorEastAsia"/>
                <w:sz w:val="20"/>
                <w:szCs w:val="20"/>
              </w:rPr>
            </w:pPr>
          </w:p>
        </w:tc>
        <w:tc>
          <w:tcPr>
            <w:tcW w:w="664" w:type="pct"/>
            <w:tcBorders>
              <w:left w:val="single" w:color="auto" w:sz="4" w:space="0"/>
              <w:bottom w:val="single" w:color="auto" w:sz="4" w:space="0"/>
              <w:right w:val="single" w:color="auto" w:sz="4" w:space="0"/>
            </w:tcBorders>
            <w:vAlign w:val="center"/>
          </w:tcPr>
          <w:p>
            <w:pPr>
              <w:spacing w:line="240" w:lineRule="exact"/>
              <w:ind w:left="-73" w:leftChars="-35" w:right="-73" w:rightChars="-35"/>
              <w:jc w:val="center"/>
              <w:rPr>
                <w:rFonts w:ascii="Times New Roman" w:hAnsi="Times New Roman" w:cs="Times New Roman" w:eastAsiaTheme="majorEastAsia"/>
                <w:sz w:val="20"/>
                <w:szCs w:val="20"/>
              </w:rPr>
            </w:pPr>
            <w:r>
              <w:rPr>
                <w:rFonts w:ascii="Times New Roman" w:hAnsi="Times New Roman" w:cs="Times New Roman" w:eastAsiaTheme="majorEastAsia"/>
                <w:sz w:val="20"/>
                <w:szCs w:val="20"/>
              </w:rPr>
              <w:t>按热量计费</w:t>
            </w:r>
          </w:p>
        </w:tc>
        <w:tc>
          <w:tcPr>
            <w:tcW w:w="870" w:type="pct"/>
            <w:gridSpan w:val="2"/>
            <w:tcBorders>
              <w:left w:val="single" w:color="auto" w:sz="4" w:space="0"/>
              <w:right w:val="single" w:color="auto" w:sz="4" w:space="0"/>
            </w:tcBorders>
            <w:vAlign w:val="center"/>
          </w:tcPr>
          <w:p>
            <w:pPr>
              <w:spacing w:line="240" w:lineRule="exact"/>
              <w:ind w:left="-73" w:leftChars="-35" w:right="-73" w:rightChars="-35"/>
              <w:jc w:val="left"/>
              <w:rPr>
                <w:rFonts w:ascii="Times New Roman" w:hAnsi="Times New Roman" w:cs="Times New Roman" w:eastAsiaTheme="majorEastAsia"/>
                <w:sz w:val="20"/>
                <w:szCs w:val="20"/>
              </w:rPr>
            </w:pPr>
            <w:r>
              <w:rPr>
                <w:rFonts w:ascii="Times New Roman" w:hAnsi="Times New Roman" w:cs="Times New Roman" w:eastAsiaTheme="majorEastAsia"/>
                <w:spacing w:val="-8"/>
                <w:sz w:val="20"/>
                <w:szCs w:val="20"/>
              </w:rPr>
              <w:t>基本热价</w:t>
            </w:r>
            <w:r>
              <w:rPr>
                <w:rFonts w:ascii="Times New Roman" w:hAnsi="Times New Roman" w:cs="Times New Roman" w:eastAsiaTheme="majorEastAsia"/>
                <w:sz w:val="20"/>
                <w:szCs w:val="20"/>
              </w:rPr>
              <w:t>：10.08元/立方米</w:t>
            </w:r>
          </w:p>
        </w:tc>
        <w:tc>
          <w:tcPr>
            <w:tcW w:w="881" w:type="pct"/>
            <w:tcBorders>
              <w:left w:val="single" w:color="auto" w:sz="4" w:space="0"/>
              <w:right w:val="single" w:color="auto" w:sz="4" w:space="0"/>
            </w:tcBorders>
            <w:vAlign w:val="center"/>
          </w:tcPr>
          <w:p>
            <w:pPr>
              <w:spacing w:line="240" w:lineRule="exact"/>
              <w:ind w:left="-73" w:leftChars="-35" w:right="-73" w:rightChars="-35"/>
              <w:rPr>
                <w:rFonts w:ascii="Times New Roman" w:hAnsi="Times New Roman" w:cs="Times New Roman" w:eastAsiaTheme="majorEastAsia"/>
                <w:sz w:val="20"/>
                <w:szCs w:val="20"/>
              </w:rPr>
            </w:pPr>
            <w:r>
              <w:rPr>
                <w:rFonts w:ascii="Times New Roman" w:hAnsi="Times New Roman" w:cs="Times New Roman" w:eastAsiaTheme="majorEastAsia"/>
                <w:spacing w:val="-18"/>
                <w:sz w:val="20"/>
                <w:szCs w:val="20"/>
              </w:rPr>
              <w:t>计量热价：</w:t>
            </w:r>
            <w:r>
              <w:rPr>
                <w:rFonts w:ascii="Times New Roman" w:hAnsi="Times New Roman" w:cs="Times New Roman" w:eastAsiaTheme="majorEastAsia"/>
                <w:sz w:val="20"/>
                <w:szCs w:val="20"/>
              </w:rPr>
              <w:t>0.251元/千瓦时（69.72元/吉焦）</w:t>
            </w:r>
          </w:p>
        </w:tc>
        <w:tc>
          <w:tcPr>
            <w:tcW w:w="20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73" w:leftChars="-35" w:right="-73" w:rightChars="-35"/>
              <w:jc w:val="left"/>
              <w:rPr>
                <w:rFonts w:ascii="Times New Roman" w:hAnsi="Times New Roman" w:cs="Times New Roman" w:eastAsiaTheme="majorEastAsia"/>
                <w:sz w:val="20"/>
                <w:szCs w:val="20"/>
              </w:rPr>
            </w:pPr>
          </w:p>
        </w:tc>
      </w:tr>
    </w:tbl>
    <w:p>
      <w:pPr>
        <w:spacing w:line="320" w:lineRule="exact"/>
        <w:rPr>
          <w:rFonts w:ascii="Times New Roman" w:hAnsi="Times New Roman" w:eastAsia="楷体_GB2312" w:cs="Times New Roman"/>
          <w:sz w:val="24"/>
        </w:rPr>
      </w:pPr>
      <w:r>
        <w:rPr>
          <w:rFonts w:ascii="Times New Roman" w:hAnsi="Times New Roman" w:eastAsia="楷体_GB2312" w:cs="Times New Roman"/>
          <w:sz w:val="24"/>
        </w:rPr>
        <w:t>4.电价</w:t>
      </w:r>
    </w:p>
    <w:p>
      <w:pPr>
        <w:spacing w:line="320" w:lineRule="exact"/>
        <w:jc w:val="center"/>
        <w:rPr>
          <w:rFonts w:cs="Times New Roman" w:asciiTheme="minorEastAsia" w:hAnsiTheme="minorEastAsia" w:eastAsiaTheme="minorEastAsia"/>
          <w:sz w:val="24"/>
        </w:rPr>
      </w:pPr>
      <w:r>
        <w:rPr>
          <w:rFonts w:cs="Times New Roman" w:asciiTheme="minorEastAsia" w:hAnsiTheme="minorEastAsia" w:eastAsiaTheme="minorEastAsia"/>
          <w:sz w:val="24"/>
        </w:rPr>
        <w:t>居民生活电价价目表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657"/>
        <w:gridCol w:w="2589"/>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205"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黑体" w:cs="Times New Roman"/>
                <w:bCs/>
                <w:sz w:val="20"/>
                <w:szCs w:val="20"/>
              </w:rPr>
            </w:pPr>
            <w:r>
              <w:rPr>
                <w:rFonts w:ascii="Times New Roman" w:hAnsi="Times New Roman" w:eastAsia="黑体" w:cs="Times New Roman"/>
                <w:bCs/>
                <w:sz w:val="20"/>
                <w:szCs w:val="20"/>
              </w:rPr>
              <w:t>类别</w:t>
            </w:r>
          </w:p>
        </w:tc>
        <w:tc>
          <w:tcPr>
            <w:tcW w:w="25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73" w:leftChars="-35" w:right="-73" w:rightChars="-35"/>
              <w:jc w:val="center"/>
              <w:rPr>
                <w:rFonts w:ascii="Times New Roman" w:hAnsi="Times New Roman" w:eastAsia="黑体" w:cs="Times New Roman"/>
                <w:bCs/>
                <w:sz w:val="20"/>
                <w:szCs w:val="20"/>
              </w:rPr>
            </w:pPr>
            <w:r>
              <w:rPr>
                <w:rFonts w:ascii="Times New Roman" w:hAnsi="Times New Roman" w:eastAsia="黑体" w:cs="Times New Roman"/>
                <w:bCs/>
                <w:sz w:val="20"/>
                <w:szCs w:val="20"/>
              </w:rPr>
              <w:t>电压等级</w:t>
            </w:r>
          </w:p>
        </w:tc>
        <w:tc>
          <w:tcPr>
            <w:tcW w:w="122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73" w:leftChars="-35" w:right="-73" w:rightChars="-35"/>
              <w:jc w:val="center"/>
              <w:rPr>
                <w:rFonts w:ascii="Times New Roman" w:hAnsi="Times New Roman" w:eastAsia="黑体" w:cs="Times New Roman"/>
                <w:bCs/>
                <w:sz w:val="20"/>
                <w:szCs w:val="20"/>
              </w:rPr>
            </w:pPr>
            <w:r>
              <w:rPr>
                <w:rFonts w:ascii="Times New Roman" w:hAnsi="Times New Roman" w:eastAsia="黑体" w:cs="Times New Roman"/>
                <w:bCs/>
                <w:sz w:val="20"/>
                <w:szCs w:val="20"/>
              </w:rPr>
              <w:t>电度电价</w:t>
            </w:r>
          </w:p>
          <w:p>
            <w:pPr>
              <w:adjustRightInd w:val="0"/>
              <w:snapToGrid w:val="0"/>
              <w:spacing w:line="260" w:lineRule="exact"/>
              <w:ind w:left="-73" w:leftChars="-35" w:right="-73" w:rightChars="-35"/>
              <w:jc w:val="center"/>
              <w:rPr>
                <w:rFonts w:ascii="Times New Roman" w:hAnsi="Times New Roman" w:eastAsia="黑体" w:cs="Times New Roman"/>
                <w:bCs/>
                <w:sz w:val="20"/>
                <w:szCs w:val="20"/>
              </w:rPr>
            </w:pPr>
            <w:r>
              <w:rPr>
                <w:rFonts w:ascii="Times New Roman" w:hAnsi="Times New Roman" w:eastAsia="黑体" w:cs="Times New Roman"/>
                <w:bCs/>
                <w:sz w:val="20"/>
                <w:szCs w:val="20"/>
              </w:rPr>
              <w:t>（元/千瓦时）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53" w:type="pct"/>
            <w:vMerge w:val="restart"/>
            <w:tcBorders>
              <w:top w:val="single" w:color="auto" w:sz="4" w:space="0"/>
              <w:left w:val="single" w:color="auto" w:sz="4" w:space="0"/>
              <w:right w:val="single" w:color="auto" w:sz="4" w:space="0"/>
            </w:tcBorders>
            <w:vAlign w:val="center"/>
          </w:tcPr>
          <w:p>
            <w:pPr>
              <w:spacing w:line="260" w:lineRule="exact"/>
              <w:ind w:left="-105" w:leftChars="-50" w:right="-105" w:rightChars="-5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居民</w:t>
            </w:r>
          </w:p>
          <w:p>
            <w:pPr>
              <w:spacing w:line="260" w:lineRule="exact"/>
              <w:ind w:left="-105" w:leftChars="-50" w:right="-105" w:rightChars="-5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生活</w:t>
            </w:r>
          </w:p>
          <w:p>
            <w:pPr>
              <w:spacing w:line="260" w:lineRule="exact"/>
              <w:ind w:left="-105" w:leftChars="-50" w:right="-105" w:rightChars="-5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用电</w:t>
            </w:r>
          </w:p>
        </w:tc>
        <w:tc>
          <w:tcPr>
            <w:tcW w:w="652" w:type="pct"/>
            <w:vMerge w:val="restart"/>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一户一表</w:t>
            </w:r>
          </w:p>
        </w:tc>
        <w:tc>
          <w:tcPr>
            <w:tcW w:w="2570" w:type="pct"/>
            <w:tcBorders>
              <w:top w:val="single" w:color="auto" w:sz="4" w:space="0"/>
              <w:left w:val="single" w:color="auto" w:sz="4" w:space="0"/>
              <w:right w:val="single" w:color="auto" w:sz="4" w:space="0"/>
            </w:tcBorders>
            <w:vAlign w:val="center"/>
          </w:tcPr>
          <w:p>
            <w:pPr>
              <w:spacing w:line="26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第一档</w:t>
            </w:r>
          </w:p>
          <w:p>
            <w:pPr>
              <w:spacing w:line="26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（年用电量2520度及以下）</w:t>
            </w:r>
          </w:p>
        </w:tc>
        <w:tc>
          <w:tcPr>
            <w:tcW w:w="1224" w:type="pct"/>
            <w:tcBorders>
              <w:top w:val="single" w:color="auto" w:sz="4" w:space="0"/>
              <w:left w:val="single" w:color="auto" w:sz="4" w:space="0"/>
              <w:bottom w:val="single" w:color="auto" w:sz="4" w:space="0"/>
              <w:right w:val="single" w:color="auto" w:sz="4" w:space="0"/>
            </w:tcBorders>
            <w:vAlign w:val="center"/>
          </w:tcPr>
          <w:p>
            <w:pPr>
              <w:spacing w:line="26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0.5469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53" w:type="pct"/>
            <w:vMerge w:val="continue"/>
            <w:tcBorders>
              <w:left w:val="single" w:color="auto" w:sz="4" w:space="0"/>
              <w:right w:val="single" w:color="auto" w:sz="4" w:space="0"/>
            </w:tcBorders>
            <w:vAlign w:val="center"/>
          </w:tcPr>
          <w:p>
            <w:pPr>
              <w:spacing w:line="260" w:lineRule="exact"/>
              <w:jc w:val="center"/>
              <w:rPr>
                <w:rFonts w:ascii="Times New Roman" w:hAnsi="Times New Roman" w:cs="Times New Roman" w:eastAsiaTheme="minorEastAsia"/>
                <w:sz w:val="20"/>
                <w:szCs w:val="20"/>
              </w:rPr>
            </w:pPr>
          </w:p>
        </w:tc>
        <w:tc>
          <w:tcPr>
            <w:tcW w:w="652" w:type="pct"/>
            <w:vMerge w:val="continue"/>
            <w:tcBorders>
              <w:left w:val="single" w:color="auto" w:sz="4" w:space="0"/>
              <w:right w:val="single" w:color="auto" w:sz="4" w:space="0"/>
            </w:tcBorders>
            <w:vAlign w:val="center"/>
          </w:tcPr>
          <w:p>
            <w:pPr>
              <w:spacing w:line="260" w:lineRule="exact"/>
              <w:jc w:val="center"/>
              <w:rPr>
                <w:rFonts w:ascii="Times New Roman" w:hAnsi="Times New Roman" w:cs="Times New Roman" w:eastAsiaTheme="minorEastAsia"/>
                <w:sz w:val="20"/>
                <w:szCs w:val="20"/>
              </w:rPr>
            </w:pPr>
          </w:p>
        </w:tc>
        <w:tc>
          <w:tcPr>
            <w:tcW w:w="2570" w:type="pct"/>
            <w:tcBorders>
              <w:left w:val="single" w:color="auto" w:sz="4" w:space="0"/>
              <w:right w:val="single" w:color="auto" w:sz="4" w:space="0"/>
            </w:tcBorders>
            <w:vAlign w:val="center"/>
          </w:tcPr>
          <w:p>
            <w:pPr>
              <w:adjustRightInd w:val="0"/>
              <w:snapToGrid w:val="0"/>
              <w:spacing w:line="26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第二档</w:t>
            </w:r>
          </w:p>
          <w:p>
            <w:pPr>
              <w:adjustRightInd w:val="0"/>
              <w:snapToGrid w:val="0"/>
              <w:spacing w:line="260" w:lineRule="exact"/>
              <w:ind w:left="-73" w:leftChars="-35" w:right="-73" w:rightChars="-35"/>
              <w:jc w:val="center"/>
              <w:rPr>
                <w:rFonts w:ascii="Times New Roman" w:hAnsi="Times New Roman" w:cs="Times New Roman" w:eastAsiaTheme="minorEastAsia"/>
                <w:spacing w:val="-6"/>
                <w:sz w:val="20"/>
                <w:szCs w:val="20"/>
              </w:rPr>
            </w:pPr>
            <w:r>
              <w:rPr>
                <w:rFonts w:ascii="Times New Roman" w:hAnsi="Times New Roman" w:cs="Times New Roman" w:eastAsiaTheme="minorEastAsia"/>
                <w:spacing w:val="-6"/>
                <w:sz w:val="20"/>
                <w:szCs w:val="20"/>
              </w:rPr>
              <w:t>（年用电量2520-4800度部分）</w:t>
            </w:r>
          </w:p>
        </w:tc>
        <w:tc>
          <w:tcPr>
            <w:tcW w:w="1224" w:type="pct"/>
            <w:tcBorders>
              <w:top w:val="single" w:color="auto" w:sz="4" w:space="0"/>
              <w:left w:val="single" w:color="auto" w:sz="4" w:space="0"/>
              <w:bottom w:val="single" w:color="auto" w:sz="4" w:space="0"/>
              <w:right w:val="single" w:color="auto" w:sz="4" w:space="0"/>
            </w:tcBorders>
            <w:vAlign w:val="center"/>
          </w:tcPr>
          <w:p>
            <w:pPr>
              <w:spacing w:line="26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53" w:type="pct"/>
            <w:vMerge w:val="continue"/>
            <w:tcBorders>
              <w:left w:val="single" w:color="auto" w:sz="4" w:space="0"/>
              <w:right w:val="single" w:color="auto" w:sz="4" w:space="0"/>
            </w:tcBorders>
            <w:vAlign w:val="center"/>
          </w:tcPr>
          <w:p>
            <w:pPr>
              <w:spacing w:line="260" w:lineRule="exact"/>
              <w:jc w:val="center"/>
              <w:rPr>
                <w:rFonts w:ascii="Times New Roman" w:hAnsi="Times New Roman" w:cs="Times New Roman" w:eastAsiaTheme="minorEastAsia"/>
                <w:sz w:val="20"/>
                <w:szCs w:val="20"/>
              </w:rPr>
            </w:pPr>
          </w:p>
        </w:tc>
        <w:tc>
          <w:tcPr>
            <w:tcW w:w="652" w:type="pct"/>
            <w:vMerge w:val="continue"/>
            <w:tcBorders>
              <w:left w:val="single" w:color="auto" w:sz="4" w:space="0"/>
              <w:right w:val="single" w:color="auto" w:sz="4" w:space="0"/>
            </w:tcBorders>
            <w:vAlign w:val="center"/>
          </w:tcPr>
          <w:p>
            <w:pPr>
              <w:spacing w:line="260" w:lineRule="exact"/>
              <w:jc w:val="center"/>
              <w:rPr>
                <w:rFonts w:ascii="Times New Roman" w:hAnsi="Times New Roman" w:cs="Times New Roman" w:eastAsiaTheme="minorEastAsia"/>
                <w:sz w:val="20"/>
                <w:szCs w:val="20"/>
              </w:rPr>
            </w:pPr>
          </w:p>
        </w:tc>
        <w:tc>
          <w:tcPr>
            <w:tcW w:w="2570" w:type="pct"/>
            <w:tcBorders>
              <w:left w:val="single" w:color="auto" w:sz="4" w:space="0"/>
              <w:bottom w:val="single" w:color="auto" w:sz="4" w:space="0"/>
              <w:right w:val="single" w:color="auto" w:sz="4" w:space="0"/>
            </w:tcBorders>
            <w:vAlign w:val="center"/>
          </w:tcPr>
          <w:p>
            <w:pPr>
              <w:adjustRightInd w:val="0"/>
              <w:snapToGrid w:val="0"/>
              <w:spacing w:line="26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第三档</w:t>
            </w:r>
          </w:p>
          <w:p>
            <w:pPr>
              <w:adjustRightInd w:val="0"/>
              <w:snapToGrid w:val="0"/>
              <w:spacing w:line="26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pacing w:val="-6"/>
                <w:sz w:val="20"/>
                <w:szCs w:val="20"/>
              </w:rPr>
              <w:t>（年用电量超过4800度部分）</w:t>
            </w:r>
          </w:p>
        </w:tc>
        <w:tc>
          <w:tcPr>
            <w:tcW w:w="1224" w:type="pct"/>
            <w:tcBorders>
              <w:top w:val="single" w:color="auto" w:sz="4" w:space="0"/>
              <w:left w:val="single" w:color="auto" w:sz="4" w:space="0"/>
              <w:bottom w:val="single" w:color="auto" w:sz="4" w:space="0"/>
              <w:right w:val="single" w:color="auto" w:sz="4" w:space="0"/>
            </w:tcBorders>
            <w:vAlign w:val="center"/>
          </w:tcPr>
          <w:p>
            <w:pPr>
              <w:spacing w:line="26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0.8469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53" w:type="pct"/>
            <w:vMerge w:val="continue"/>
            <w:tcBorders>
              <w:left w:val="single" w:color="auto" w:sz="4" w:space="0"/>
              <w:right w:val="single" w:color="auto" w:sz="4" w:space="0"/>
            </w:tcBorders>
            <w:vAlign w:val="center"/>
          </w:tcPr>
          <w:p>
            <w:pPr>
              <w:spacing w:line="260" w:lineRule="exact"/>
              <w:jc w:val="center"/>
              <w:rPr>
                <w:rFonts w:ascii="Times New Roman" w:hAnsi="Times New Roman" w:cs="Times New Roman" w:eastAsiaTheme="minorEastAsia"/>
                <w:sz w:val="20"/>
                <w:szCs w:val="20"/>
              </w:rPr>
            </w:pPr>
          </w:p>
        </w:tc>
        <w:tc>
          <w:tcPr>
            <w:tcW w:w="652" w:type="pct"/>
            <w:vMerge w:val="restart"/>
            <w:tcBorders>
              <w:left w:val="single" w:color="auto" w:sz="4" w:space="0"/>
              <w:right w:val="single" w:color="auto" w:sz="4" w:space="0"/>
            </w:tcBorders>
            <w:vAlign w:val="center"/>
          </w:tcPr>
          <w:p>
            <w:pPr>
              <w:spacing w:line="26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合表</w:t>
            </w:r>
          </w:p>
        </w:tc>
        <w:tc>
          <w:tcPr>
            <w:tcW w:w="2570" w:type="pct"/>
            <w:tcBorders>
              <w:top w:val="single" w:color="auto" w:sz="4" w:space="0"/>
              <w:left w:val="single" w:color="auto" w:sz="4" w:space="0"/>
              <w:right w:val="single" w:color="auto" w:sz="4" w:space="0"/>
            </w:tcBorders>
            <w:vAlign w:val="center"/>
          </w:tcPr>
          <w:p>
            <w:pPr>
              <w:spacing w:line="26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不满1千伏</w:t>
            </w:r>
          </w:p>
        </w:tc>
        <w:tc>
          <w:tcPr>
            <w:tcW w:w="1224" w:type="pct"/>
            <w:tcBorders>
              <w:top w:val="single" w:color="auto" w:sz="4" w:space="0"/>
              <w:left w:val="single" w:color="auto" w:sz="4" w:space="0"/>
              <w:bottom w:val="single" w:color="auto" w:sz="4" w:space="0"/>
              <w:right w:val="single" w:color="auto" w:sz="4" w:space="0"/>
            </w:tcBorders>
            <w:vAlign w:val="center"/>
          </w:tcPr>
          <w:p>
            <w:pPr>
              <w:spacing w:line="26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0.5550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53" w:type="pct"/>
            <w:vMerge w:val="continue"/>
            <w:tcBorders>
              <w:left w:val="single" w:color="auto" w:sz="4" w:space="0"/>
              <w:right w:val="single" w:color="auto" w:sz="4" w:space="0"/>
            </w:tcBorders>
            <w:vAlign w:val="center"/>
          </w:tcPr>
          <w:p>
            <w:pPr>
              <w:spacing w:line="260" w:lineRule="exact"/>
              <w:jc w:val="left"/>
              <w:rPr>
                <w:rFonts w:ascii="Times New Roman" w:hAnsi="Times New Roman" w:cs="Times New Roman" w:eastAsiaTheme="minorEastAsia"/>
                <w:sz w:val="20"/>
                <w:szCs w:val="20"/>
              </w:rPr>
            </w:pPr>
          </w:p>
        </w:tc>
        <w:tc>
          <w:tcPr>
            <w:tcW w:w="652" w:type="pct"/>
            <w:vMerge w:val="continue"/>
            <w:tcBorders>
              <w:left w:val="single" w:color="auto" w:sz="4" w:space="0"/>
              <w:right w:val="single" w:color="auto" w:sz="4" w:space="0"/>
            </w:tcBorders>
            <w:vAlign w:val="center"/>
          </w:tcPr>
          <w:p>
            <w:pPr>
              <w:spacing w:line="260" w:lineRule="exact"/>
              <w:jc w:val="left"/>
              <w:rPr>
                <w:rFonts w:ascii="Times New Roman" w:hAnsi="Times New Roman" w:cs="Times New Roman" w:eastAsiaTheme="minorEastAsia"/>
                <w:sz w:val="20"/>
                <w:szCs w:val="20"/>
              </w:rPr>
            </w:pPr>
          </w:p>
        </w:tc>
        <w:tc>
          <w:tcPr>
            <w:tcW w:w="2570" w:type="pct"/>
            <w:tcBorders>
              <w:top w:val="single" w:color="auto" w:sz="4" w:space="0"/>
              <w:left w:val="single" w:color="auto" w:sz="4" w:space="0"/>
              <w:right w:val="single" w:color="auto" w:sz="4" w:space="0"/>
            </w:tcBorders>
            <w:vAlign w:val="center"/>
          </w:tcPr>
          <w:p>
            <w:pPr>
              <w:spacing w:line="26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1千伏及以上</w:t>
            </w:r>
          </w:p>
        </w:tc>
        <w:tc>
          <w:tcPr>
            <w:tcW w:w="1224" w:type="pct"/>
            <w:tcBorders>
              <w:top w:val="single" w:color="auto" w:sz="4" w:space="0"/>
              <w:left w:val="single" w:color="auto" w:sz="4" w:space="0"/>
              <w:bottom w:val="single" w:color="auto" w:sz="4" w:space="0"/>
              <w:right w:val="single" w:color="auto" w:sz="4" w:space="0"/>
            </w:tcBorders>
            <w:vAlign w:val="center"/>
          </w:tcPr>
          <w:p>
            <w:pPr>
              <w:spacing w:line="260" w:lineRule="exact"/>
              <w:ind w:left="-73" w:leftChars="-35" w:right="-73" w:rightChars="-35"/>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5000" w:type="pct"/>
            <w:gridSpan w:val="4"/>
            <w:vAlign w:val="center"/>
          </w:tcPr>
          <w:p>
            <w:pPr>
              <w:spacing w:line="360" w:lineRule="exact"/>
              <w:rPr>
                <w:rFonts w:ascii="Times New Roman" w:hAnsi="Times New Roman" w:cs="Times New Roman" w:eastAsiaTheme="minorEastAsia"/>
                <w:sz w:val="20"/>
                <w:szCs w:val="20"/>
              </w:rPr>
            </w:pPr>
            <w:r>
              <w:rPr>
                <w:rFonts w:ascii="Times New Roman" w:hAnsi="Times New Roman" w:cs="Times New Roman" w:eastAsiaTheme="minorEastAsia"/>
                <w:sz w:val="20"/>
                <w:szCs w:val="20"/>
              </w:rPr>
              <w:t>备注：</w:t>
            </w:r>
          </w:p>
          <w:p>
            <w:pPr>
              <w:spacing w:line="360" w:lineRule="exact"/>
              <w:ind w:firstLine="400" w:firstLineChars="200"/>
              <w:rPr>
                <w:rFonts w:ascii="Times New Roman" w:hAnsi="Times New Roman" w:cs="Times New Roman" w:eastAsiaTheme="minorEastAsia"/>
                <w:sz w:val="20"/>
                <w:szCs w:val="20"/>
              </w:rPr>
            </w:pPr>
            <w:r>
              <w:rPr>
                <w:rFonts w:ascii="Times New Roman" w:hAnsi="Times New Roman" w:cs="Times New Roman" w:eastAsiaTheme="minorEastAsia"/>
                <w:sz w:val="20"/>
                <w:szCs w:val="20"/>
              </w:rPr>
              <w:t>1.户籍人口5人及以上的“一户一表”居民用户，第一档电量每月增加100度至310度，第二档电量为310-400度之间，第三档为400度以上，加价标准不变。</w:t>
            </w:r>
          </w:p>
          <w:p>
            <w:pPr>
              <w:pStyle w:val="10"/>
              <w:shd w:val="clear" w:color="auto" w:fill="FFFFFF"/>
              <w:spacing w:before="0" w:beforeAutospacing="0" w:after="0" w:afterAutospacing="0" w:line="360" w:lineRule="exact"/>
              <w:ind w:firstLine="400" w:firstLineChars="200"/>
              <w:jc w:val="both"/>
              <w:rPr>
                <w:rFonts w:ascii="Times New Roman" w:hAnsi="Times New Roman" w:cs="Times New Roman" w:eastAsiaTheme="minorEastAsia"/>
                <w:kern w:val="2"/>
                <w:sz w:val="20"/>
                <w:szCs w:val="20"/>
              </w:rPr>
            </w:pPr>
            <w:r>
              <w:rPr>
                <w:rFonts w:ascii="Times New Roman" w:hAnsi="Times New Roman" w:cs="Times New Roman" w:eastAsiaTheme="minorEastAsia"/>
                <w:kern w:val="2"/>
                <w:sz w:val="20"/>
                <w:szCs w:val="20"/>
              </w:rPr>
              <w:t>2.不具备集中供暖条件、2012年7月1日前采用电锅炉、电地热等方式取暖的“一户一表”居民用户，按照《山东省发展和改革委员会关于完善清洁取暖价格政策的通知》（鲁发改价格〔2018〕1269号）中“一户一表”居民电代煤用户电价政策执行。</w:t>
            </w:r>
          </w:p>
          <w:p>
            <w:pPr>
              <w:pStyle w:val="10"/>
              <w:shd w:val="clear" w:color="auto" w:fill="FFFFFF"/>
              <w:spacing w:before="0" w:beforeAutospacing="0" w:after="0" w:afterAutospacing="0" w:line="360" w:lineRule="exact"/>
              <w:ind w:firstLine="400" w:firstLineChars="200"/>
              <w:jc w:val="both"/>
              <w:rPr>
                <w:rFonts w:ascii="Times New Roman" w:hAnsi="Times New Roman" w:cs="Times New Roman" w:eastAsiaTheme="minorEastAsia"/>
                <w:kern w:val="2"/>
                <w:sz w:val="20"/>
                <w:szCs w:val="20"/>
              </w:rPr>
            </w:pPr>
          </w:p>
          <w:p>
            <w:pPr>
              <w:pStyle w:val="10"/>
              <w:shd w:val="clear" w:color="auto" w:fill="FFFFFF"/>
              <w:spacing w:before="0" w:beforeAutospacing="0" w:after="0" w:afterAutospacing="0" w:line="360" w:lineRule="exact"/>
              <w:ind w:firstLine="400" w:firstLineChars="200"/>
              <w:jc w:val="both"/>
              <w:rPr>
                <w:rFonts w:ascii="Times New Roman" w:hAnsi="Times New Roman" w:cs="Times New Roman" w:eastAsiaTheme="minorEastAsia"/>
                <w:kern w:val="2"/>
                <w:sz w:val="20"/>
                <w:szCs w:val="20"/>
              </w:rPr>
            </w:pPr>
          </w:p>
        </w:tc>
      </w:tr>
    </w:tbl>
    <w:p>
      <w:pPr>
        <w:spacing w:line="360" w:lineRule="exact"/>
        <w:rPr>
          <w:rFonts w:ascii="Times New Roman" w:hAnsi="Times New Roman" w:eastAsia="黑体" w:cs="Times New Roman"/>
          <w:sz w:val="24"/>
        </w:rPr>
      </w:pPr>
      <w:r>
        <w:rPr>
          <w:rFonts w:ascii="Times New Roman" w:hAnsi="Times New Roman" w:eastAsia="黑体" w:cs="Times New Roman"/>
          <w:sz w:val="24"/>
        </w:rPr>
        <w:t>二、公共交通票价</w:t>
      </w:r>
    </w:p>
    <w:p>
      <w:pPr>
        <w:spacing w:line="100" w:lineRule="exact"/>
        <w:rPr>
          <w:rFonts w:ascii="Times New Roman" w:hAnsi="Times New Roman" w:eastAsia="黑体" w:cs="Times New Roman"/>
          <w:sz w:val="24"/>
        </w:rPr>
      </w:pPr>
    </w:p>
    <w:p>
      <w:pPr>
        <w:spacing w:line="360" w:lineRule="exact"/>
        <w:rPr>
          <w:rFonts w:ascii="Times New Roman" w:hAnsi="Times New Roman" w:eastAsia="楷体_GB2312" w:cs="Times New Roman"/>
          <w:sz w:val="24"/>
        </w:rPr>
      </w:pPr>
      <w:r>
        <w:rPr>
          <w:rFonts w:ascii="Times New Roman" w:hAnsi="Times New Roman" w:eastAsia="楷体_GB2312" w:cs="Times New Roman"/>
          <w:sz w:val="24"/>
        </w:rPr>
        <w:t>1.公共汽车票价</w:t>
      </w:r>
    </w:p>
    <w:p>
      <w:pPr>
        <w:spacing w:line="320" w:lineRule="exact"/>
        <w:jc w:val="center"/>
        <w:rPr>
          <w:rFonts w:ascii="宋体" w:hAnsi="宋体" w:cs="Times New Roman"/>
          <w:sz w:val="24"/>
        </w:rPr>
      </w:pPr>
      <w:r>
        <w:rPr>
          <w:rFonts w:ascii="宋体" w:hAnsi="宋体" w:cs="Times New Roman"/>
          <w:sz w:val="24"/>
        </w:rPr>
        <w:t>公交票价价目表</w:t>
      </w:r>
    </w:p>
    <w:p>
      <w:pPr>
        <w:spacing w:line="120" w:lineRule="exact"/>
        <w:jc w:val="center"/>
        <w:rPr>
          <w:rFonts w:ascii="Times New Roman" w:hAnsi="Times New Roman" w:eastAsia="楷体_GB2312" w:cs="Times New Roman"/>
          <w:sz w:val="32"/>
          <w:szCs w:val="32"/>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1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黑体" w:cs="Times New Roman"/>
                <w:bCs/>
                <w:sz w:val="20"/>
                <w:szCs w:val="20"/>
              </w:rPr>
            </w:pPr>
            <w:r>
              <w:rPr>
                <w:rFonts w:ascii="Times New Roman" w:hAnsi="Times New Roman" w:eastAsia="黑体" w:cs="Times New Roman"/>
                <w:bCs/>
                <w:sz w:val="20"/>
                <w:szCs w:val="20"/>
              </w:rPr>
              <w:t>类别</w:t>
            </w:r>
          </w:p>
        </w:tc>
        <w:tc>
          <w:tcPr>
            <w:tcW w:w="287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黑体" w:cs="Times New Roman"/>
                <w:bCs/>
                <w:sz w:val="20"/>
                <w:szCs w:val="20"/>
              </w:rPr>
            </w:pPr>
            <w:r>
              <w:rPr>
                <w:rFonts w:ascii="Times New Roman" w:hAnsi="Times New Roman" w:eastAsia="黑体" w:cs="Times New Roman"/>
                <w:bCs/>
                <w:sz w:val="20"/>
                <w:szCs w:val="20"/>
              </w:rPr>
              <w:t>成人票价（元/人次）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2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普通公交票价</w:t>
            </w:r>
          </w:p>
        </w:tc>
        <w:tc>
          <w:tcPr>
            <w:tcW w:w="2873" w:type="pc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12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空调车公交票价</w:t>
            </w:r>
          </w:p>
        </w:tc>
        <w:tc>
          <w:tcPr>
            <w:tcW w:w="287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2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旅游公交专线票价</w:t>
            </w:r>
          </w:p>
        </w:tc>
        <w:tc>
          <w:tcPr>
            <w:tcW w:w="287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r>
    </w:tbl>
    <w:p>
      <w:pPr>
        <w:widowControl/>
        <w:jc w:val="left"/>
        <w:rPr>
          <w:rFonts w:ascii="Times New Roman" w:hAnsi="Times New Roman" w:eastAsia="楷体_GB2312" w:cs="Times New Roman"/>
          <w:sz w:val="32"/>
          <w:szCs w:val="32"/>
        </w:rPr>
      </w:pPr>
    </w:p>
    <w:p>
      <w:pPr>
        <w:spacing w:line="360" w:lineRule="exact"/>
        <w:rPr>
          <w:rFonts w:ascii="Times New Roman" w:hAnsi="Times New Roman" w:eastAsia="黑体" w:cs="Times New Roman"/>
          <w:sz w:val="24"/>
        </w:rPr>
      </w:pPr>
      <w:r>
        <w:rPr>
          <w:rFonts w:ascii="Times New Roman" w:hAnsi="Times New Roman" w:eastAsia="黑体" w:cs="Times New Roman"/>
          <w:sz w:val="24"/>
        </w:rPr>
        <w:t>三、交通运输收费</w:t>
      </w:r>
    </w:p>
    <w:p>
      <w:pPr>
        <w:spacing w:line="100" w:lineRule="exact"/>
        <w:rPr>
          <w:rFonts w:ascii="Times New Roman" w:hAnsi="Times New Roman" w:eastAsia="黑体" w:cs="Times New Roman"/>
          <w:sz w:val="24"/>
        </w:rPr>
      </w:pPr>
    </w:p>
    <w:p>
      <w:pPr>
        <w:spacing w:line="360" w:lineRule="exact"/>
        <w:rPr>
          <w:rFonts w:ascii="Times New Roman" w:hAnsi="Times New Roman" w:eastAsia="楷体_GB2312" w:cs="Times New Roman"/>
          <w:sz w:val="24"/>
        </w:rPr>
      </w:pPr>
      <w:r>
        <w:rPr>
          <w:rFonts w:ascii="Times New Roman" w:hAnsi="Times New Roman" w:eastAsia="楷体_GB2312" w:cs="Times New Roman"/>
          <w:sz w:val="24"/>
        </w:rPr>
        <w:t>1.泰城客运出租车运价表</w:t>
      </w:r>
    </w:p>
    <w:p>
      <w:pPr>
        <w:spacing w:line="240" w:lineRule="exact"/>
        <w:jc w:val="right"/>
        <w:rPr>
          <w:rFonts w:ascii="Times New Roman" w:hAnsi="Times New Roman" w:eastAsia="楷体_GB2312" w:cs="Times New Roman"/>
          <w:szCs w:val="21"/>
        </w:rPr>
      </w:pPr>
      <w:r>
        <w:rPr>
          <w:rFonts w:ascii="Times New Roman" w:hAnsi="Times New Roman" w:eastAsia="楷体_GB2312" w:cs="Times New Roman"/>
          <w:szCs w:val="21"/>
        </w:rPr>
        <w:t>单位：元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33" w:type="pct"/>
            <w:vAlign w:val="center"/>
          </w:tcPr>
          <w:p>
            <w:pPr>
              <w:spacing w:line="280" w:lineRule="exact"/>
              <w:jc w:val="center"/>
              <w:rPr>
                <w:rFonts w:ascii="Times New Roman" w:hAnsi="Times New Roman" w:eastAsia="黑体" w:cs="Times New Roman"/>
                <w:sz w:val="20"/>
                <w:szCs w:val="20"/>
              </w:rPr>
            </w:pPr>
            <w:r>
              <w:rPr>
                <w:rFonts w:ascii="Times New Roman" w:hAnsi="Times New Roman" w:eastAsia="黑体" w:cs="Times New Roman"/>
                <w:sz w:val="20"/>
                <w:szCs w:val="20"/>
              </w:rPr>
              <w:t>运价项目</w:t>
            </w:r>
          </w:p>
        </w:tc>
        <w:tc>
          <w:tcPr>
            <w:tcW w:w="3767" w:type="pct"/>
            <w:vAlign w:val="center"/>
          </w:tcPr>
          <w:p>
            <w:pPr>
              <w:spacing w:line="280" w:lineRule="exact"/>
              <w:jc w:val="center"/>
              <w:rPr>
                <w:rFonts w:ascii="Times New Roman" w:hAnsi="Times New Roman" w:eastAsia="黑体" w:cs="Times New Roman"/>
                <w:sz w:val="20"/>
                <w:szCs w:val="20"/>
              </w:rPr>
            </w:pPr>
            <w:r>
              <w:rPr>
                <w:rFonts w:ascii="Times New Roman" w:hAnsi="Times New Roman" w:eastAsia="黑体" w:cs="Times New Roman"/>
                <w:sz w:val="20"/>
                <w:szCs w:val="20"/>
              </w:rPr>
              <w:t>计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33" w:type="pct"/>
            <w:vAlign w:val="center"/>
          </w:tcPr>
          <w:p>
            <w:pPr>
              <w:spacing w:line="28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起步价</w:t>
            </w:r>
          </w:p>
        </w:tc>
        <w:tc>
          <w:tcPr>
            <w:tcW w:w="3767" w:type="pct"/>
            <w:vAlign w:val="center"/>
          </w:tcPr>
          <w:p>
            <w:pPr>
              <w:spacing w:line="280" w:lineRule="exac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8</w:t>
            </w:r>
            <w:r>
              <w:rPr>
                <w:rFonts w:ascii="Times New Roman" w:hAnsi="Times New Roman" w:cs="Times New Roman" w:eastAsiaTheme="minorEastAsia"/>
                <w:sz w:val="20"/>
                <w:szCs w:val="20"/>
              </w:rPr>
              <w:t>元/2公里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233" w:type="pct"/>
            <w:vAlign w:val="center"/>
          </w:tcPr>
          <w:p>
            <w:pPr>
              <w:spacing w:line="28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车公里运价</w:t>
            </w:r>
          </w:p>
        </w:tc>
        <w:tc>
          <w:tcPr>
            <w:tcW w:w="3767" w:type="pct"/>
            <w:vAlign w:val="center"/>
          </w:tcPr>
          <w:p>
            <w:pPr>
              <w:spacing w:line="28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r>
              <w:rPr>
                <w:rFonts w:hint="eastAsia" w:ascii="Times New Roman" w:hAnsi="Times New Roman" w:cs="Times New Roman" w:eastAsiaTheme="minorEastAsia"/>
                <w:sz w:val="20"/>
                <w:szCs w:val="20"/>
              </w:rPr>
              <w:t>6</w:t>
            </w:r>
            <w:r>
              <w:rPr>
                <w:rFonts w:ascii="Times New Roman" w:hAnsi="Times New Roman" w:cs="Times New Roman" w:eastAsiaTheme="minorEastAsia"/>
                <w:sz w:val="20"/>
                <w:szCs w:val="20"/>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233" w:type="pct"/>
            <w:vAlign w:val="center"/>
          </w:tcPr>
          <w:p>
            <w:pPr>
              <w:spacing w:line="28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回空费</w:t>
            </w:r>
          </w:p>
        </w:tc>
        <w:tc>
          <w:tcPr>
            <w:tcW w:w="3767" w:type="pct"/>
            <w:vAlign w:val="center"/>
          </w:tcPr>
          <w:p>
            <w:pPr>
              <w:spacing w:line="280" w:lineRule="exact"/>
              <w:ind w:firstLine="400" w:firstLineChars="200"/>
              <w:rPr>
                <w:rFonts w:ascii="Times New Roman" w:hAnsi="Times New Roman" w:cs="Times New Roman" w:eastAsiaTheme="minorEastAsia"/>
                <w:sz w:val="20"/>
                <w:szCs w:val="20"/>
              </w:rPr>
            </w:pPr>
            <w:r>
              <w:rPr>
                <w:rFonts w:ascii="Times New Roman" w:hAnsi="Times New Roman" w:cs="Times New Roman" w:eastAsiaTheme="minorEastAsia"/>
                <w:sz w:val="20"/>
                <w:szCs w:val="20"/>
              </w:rPr>
              <w:t>6公里（不含6公里）至20公里（含20公里）部分加收50%车公里运价；20公里（不含20公里）以上加收100%车公里运价。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233" w:type="pct"/>
            <w:vAlign w:val="center"/>
          </w:tcPr>
          <w:p>
            <w:pPr>
              <w:spacing w:line="28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等时计费</w:t>
            </w:r>
          </w:p>
        </w:tc>
        <w:tc>
          <w:tcPr>
            <w:tcW w:w="3767" w:type="pct"/>
            <w:tcBorders>
              <w:top w:val="nil"/>
            </w:tcBorders>
            <w:vAlign w:val="center"/>
          </w:tcPr>
          <w:p>
            <w:pPr>
              <w:spacing w:line="280" w:lineRule="exact"/>
              <w:ind w:firstLine="400" w:firstLineChars="200"/>
              <w:rPr>
                <w:rFonts w:ascii="Times New Roman" w:hAnsi="Times New Roman" w:cs="Times New Roman" w:eastAsiaTheme="minorEastAsia"/>
                <w:sz w:val="20"/>
                <w:szCs w:val="20"/>
              </w:rPr>
            </w:pPr>
            <w:r>
              <w:rPr>
                <w:rFonts w:ascii="Times New Roman" w:hAnsi="Times New Roman" w:cs="Times New Roman"/>
                <w:sz w:val="20"/>
                <w:szCs w:val="20"/>
              </w:rPr>
              <w:t>营运速度低于12公里/小时，前5分钟每满1分钟加收0.30元，5分钟后每满1分钟加收0.40元。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33" w:type="pct"/>
            <w:vAlign w:val="center"/>
          </w:tcPr>
          <w:p>
            <w:pPr>
              <w:spacing w:line="28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夜间计费</w:t>
            </w:r>
          </w:p>
        </w:tc>
        <w:tc>
          <w:tcPr>
            <w:tcW w:w="3767" w:type="pct"/>
            <w:vAlign w:val="center"/>
          </w:tcPr>
          <w:p>
            <w:pPr>
              <w:spacing w:line="280" w:lineRule="exact"/>
              <w:ind w:firstLine="400" w:firstLineChars="200"/>
              <w:rPr>
                <w:rFonts w:ascii="Times New Roman" w:hAnsi="Times New Roman" w:cs="Times New Roman" w:eastAsiaTheme="minorEastAsia"/>
                <w:sz w:val="20"/>
                <w:szCs w:val="20"/>
              </w:rPr>
            </w:pPr>
            <w:r>
              <w:rPr>
                <w:rFonts w:ascii="Times New Roman" w:hAnsi="Times New Roman" w:cs="Times New Roman" w:eastAsiaTheme="minorEastAsia"/>
                <w:sz w:val="20"/>
                <w:szCs w:val="20"/>
              </w:rPr>
              <w:t>一、四季度晚21：00点至早6：00点，二、三季度晚22：00点至早5：00点，加收15%夜间费。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33" w:type="pct"/>
            <w:vAlign w:val="center"/>
          </w:tcPr>
          <w:p>
            <w:pPr>
              <w:spacing w:line="28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计程计费</w:t>
            </w:r>
          </w:p>
        </w:tc>
        <w:tc>
          <w:tcPr>
            <w:tcW w:w="3767" w:type="pct"/>
            <w:vAlign w:val="center"/>
          </w:tcPr>
          <w:p>
            <w:pPr>
              <w:spacing w:line="280" w:lineRule="exact"/>
              <w:ind w:firstLine="400" w:firstLineChars="200"/>
              <w:rPr>
                <w:rFonts w:ascii="Times New Roman" w:hAnsi="Times New Roman" w:cs="Times New Roman" w:eastAsiaTheme="minorEastAsia"/>
                <w:sz w:val="20"/>
                <w:szCs w:val="20"/>
              </w:rPr>
            </w:pPr>
            <w:r>
              <w:rPr>
                <w:rFonts w:ascii="Times New Roman" w:hAnsi="Times New Roman" w:cs="Times New Roman" w:eastAsiaTheme="minorEastAsia"/>
                <w:sz w:val="20"/>
                <w:szCs w:val="20"/>
              </w:rPr>
              <w:t>每满100米计量一次计程收费。</w:t>
            </w:r>
          </w:p>
        </w:tc>
      </w:tr>
    </w:tbl>
    <w:p>
      <w:pPr>
        <w:spacing w:line="360" w:lineRule="exact"/>
        <w:rPr>
          <w:rFonts w:ascii="楷体_GB2312" w:eastAsia="楷体_GB2312" w:cs="Times New Roman" w:hAnsiTheme="majorEastAsia"/>
          <w:sz w:val="24"/>
        </w:rPr>
      </w:pPr>
      <w:r>
        <w:rPr>
          <w:rFonts w:hint="eastAsia" w:ascii="楷体_GB2312" w:eastAsia="楷体_GB2312" w:cs="Times New Roman" w:hAnsiTheme="majorEastAsia"/>
          <w:sz w:val="24"/>
        </w:rPr>
        <w:t>2、高速公路车辆救援清障服务收费标准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7"/>
        <w:gridCol w:w="854"/>
        <w:gridCol w:w="393"/>
        <w:gridCol w:w="936"/>
        <w:gridCol w:w="213"/>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663" w:type="pct"/>
            <w:tcMar>
              <w:top w:w="0" w:type="dxa"/>
              <w:left w:w="108" w:type="dxa"/>
              <w:bottom w:w="0" w:type="dxa"/>
              <w:right w:w="108" w:type="dxa"/>
            </w:tcMar>
            <w:vAlign w:val="center"/>
          </w:tcPr>
          <w:p>
            <w:pPr>
              <w:widowControl/>
              <w:spacing w:line="23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收费项目</w:t>
            </w:r>
          </w:p>
        </w:tc>
        <w:tc>
          <w:tcPr>
            <w:tcW w:w="4337" w:type="pct"/>
            <w:gridSpan w:val="5"/>
            <w:tcMar>
              <w:top w:w="0" w:type="dxa"/>
              <w:left w:w="108" w:type="dxa"/>
              <w:bottom w:w="0" w:type="dxa"/>
              <w:right w:w="108" w:type="dxa"/>
            </w:tcMar>
            <w:vAlign w:val="center"/>
          </w:tcPr>
          <w:p>
            <w:pPr>
              <w:widowControl/>
              <w:spacing w:line="23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收 费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663" w:type="pct"/>
            <w:vMerge w:val="restar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拖车</w:t>
            </w:r>
          </w:p>
        </w:tc>
        <w:tc>
          <w:tcPr>
            <w:tcW w:w="848"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p>
        </w:tc>
        <w:tc>
          <w:tcPr>
            <w:tcW w:w="1319" w:type="pct"/>
            <w:gridSpan w:val="2"/>
            <w:tcMar>
              <w:top w:w="0" w:type="dxa"/>
              <w:left w:w="108" w:type="dxa"/>
              <w:bottom w:w="0" w:type="dxa"/>
              <w:right w:w="108" w:type="dxa"/>
            </w:tcMar>
            <w:vAlign w:val="center"/>
          </w:tcPr>
          <w:p>
            <w:pPr>
              <w:widowControl/>
              <w:spacing w:line="230" w:lineRule="exact"/>
              <w:ind w:left="-73" w:leftChars="-35" w:right="-73" w:rightChars="-35"/>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基价（拖行10公里以内收费标准。单位：元/车·次）</w:t>
            </w:r>
          </w:p>
        </w:tc>
        <w:tc>
          <w:tcPr>
            <w:tcW w:w="2169" w:type="pct"/>
            <w:gridSpan w:val="2"/>
            <w:tcMar>
              <w:top w:w="0" w:type="dxa"/>
              <w:left w:w="108" w:type="dxa"/>
              <w:bottom w:w="0" w:type="dxa"/>
              <w:right w:w="108" w:type="dxa"/>
            </w:tcMar>
            <w:vAlign w:val="center"/>
          </w:tcPr>
          <w:p>
            <w:pPr>
              <w:widowControl/>
              <w:spacing w:line="230" w:lineRule="exact"/>
              <w:ind w:left="-73" w:leftChars="-35" w:right="-73" w:rightChars="-35"/>
              <w:jc w:val="left"/>
              <w:rPr>
                <w:rFonts w:ascii="Times New Roman" w:hAnsi="Times New Roman" w:cs="Times New Roman" w:eastAsiaTheme="minorEastAsia"/>
                <w:spacing w:val="-6"/>
                <w:kern w:val="0"/>
                <w:sz w:val="20"/>
                <w:szCs w:val="20"/>
              </w:rPr>
            </w:pPr>
            <w:r>
              <w:rPr>
                <w:rFonts w:ascii="Times New Roman" w:hAnsi="Times New Roman" w:cs="Times New Roman" w:eastAsiaTheme="minorEastAsia"/>
                <w:spacing w:val="-6"/>
                <w:kern w:val="0"/>
                <w:sz w:val="20"/>
                <w:szCs w:val="20"/>
              </w:rPr>
              <w:t>拖行费（拖行10公里以上，在基价基础上增加的费用标准，不足1公里按1公里计。单位：元/公里）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trPr>
        <w:tc>
          <w:tcPr>
            <w:tcW w:w="663" w:type="pct"/>
            <w:vMerge w:val="continue"/>
            <w:vAlign w:val="center"/>
          </w:tcPr>
          <w:p>
            <w:pPr>
              <w:widowControl/>
              <w:spacing w:line="230" w:lineRule="exact"/>
              <w:jc w:val="left"/>
              <w:rPr>
                <w:rFonts w:ascii="Times New Roman" w:hAnsi="Times New Roman" w:cs="Times New Roman" w:eastAsiaTheme="minorEastAsia"/>
                <w:kern w:val="0"/>
                <w:sz w:val="20"/>
                <w:szCs w:val="20"/>
              </w:rPr>
            </w:pPr>
          </w:p>
        </w:tc>
        <w:tc>
          <w:tcPr>
            <w:tcW w:w="848"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一类车</w:t>
            </w:r>
          </w:p>
        </w:tc>
        <w:tc>
          <w:tcPr>
            <w:tcW w:w="1319"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hint="eastAsia" w:ascii="Times New Roman" w:hAnsi="Times New Roman" w:cs="Times New Roman" w:eastAsiaTheme="minorEastAsia"/>
                <w:kern w:val="0"/>
                <w:sz w:val="20"/>
                <w:szCs w:val="20"/>
              </w:rPr>
              <w:t>350</w:t>
            </w:r>
          </w:p>
        </w:tc>
        <w:tc>
          <w:tcPr>
            <w:tcW w:w="2169"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663" w:type="pct"/>
            <w:vMerge w:val="continue"/>
            <w:vAlign w:val="center"/>
          </w:tcPr>
          <w:p>
            <w:pPr>
              <w:widowControl/>
              <w:spacing w:line="230" w:lineRule="exact"/>
              <w:jc w:val="left"/>
              <w:rPr>
                <w:rFonts w:ascii="Times New Roman" w:hAnsi="Times New Roman" w:cs="Times New Roman" w:eastAsiaTheme="minorEastAsia"/>
                <w:kern w:val="0"/>
                <w:sz w:val="20"/>
                <w:szCs w:val="20"/>
              </w:rPr>
            </w:pPr>
          </w:p>
        </w:tc>
        <w:tc>
          <w:tcPr>
            <w:tcW w:w="848"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二类车</w:t>
            </w:r>
          </w:p>
        </w:tc>
        <w:tc>
          <w:tcPr>
            <w:tcW w:w="1319"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hint="eastAsia" w:ascii="Times New Roman" w:hAnsi="Times New Roman" w:cs="Times New Roman" w:eastAsiaTheme="minorEastAsia"/>
                <w:kern w:val="0"/>
                <w:sz w:val="20"/>
                <w:szCs w:val="20"/>
              </w:rPr>
              <w:t>450</w:t>
            </w:r>
          </w:p>
        </w:tc>
        <w:tc>
          <w:tcPr>
            <w:tcW w:w="2169"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pct"/>
            <w:vMerge w:val="continue"/>
            <w:vAlign w:val="center"/>
          </w:tcPr>
          <w:p>
            <w:pPr>
              <w:widowControl/>
              <w:spacing w:line="230" w:lineRule="exact"/>
              <w:jc w:val="left"/>
              <w:rPr>
                <w:rFonts w:ascii="Times New Roman" w:hAnsi="Times New Roman" w:cs="Times New Roman" w:eastAsiaTheme="minorEastAsia"/>
                <w:kern w:val="0"/>
                <w:sz w:val="20"/>
                <w:szCs w:val="20"/>
              </w:rPr>
            </w:pPr>
          </w:p>
        </w:tc>
        <w:tc>
          <w:tcPr>
            <w:tcW w:w="848"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三类车</w:t>
            </w:r>
          </w:p>
        </w:tc>
        <w:tc>
          <w:tcPr>
            <w:tcW w:w="1319"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hint="eastAsia" w:ascii="Times New Roman" w:hAnsi="Times New Roman" w:cs="Times New Roman" w:eastAsiaTheme="minorEastAsia"/>
                <w:kern w:val="0"/>
                <w:sz w:val="20"/>
                <w:szCs w:val="20"/>
              </w:rPr>
              <w:t>500</w:t>
            </w:r>
          </w:p>
        </w:tc>
        <w:tc>
          <w:tcPr>
            <w:tcW w:w="2169"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trPr>
        <w:tc>
          <w:tcPr>
            <w:tcW w:w="663" w:type="pct"/>
            <w:vMerge w:val="continue"/>
            <w:vAlign w:val="center"/>
          </w:tcPr>
          <w:p>
            <w:pPr>
              <w:widowControl/>
              <w:spacing w:line="230" w:lineRule="exact"/>
              <w:jc w:val="left"/>
              <w:rPr>
                <w:rFonts w:ascii="Times New Roman" w:hAnsi="Times New Roman" w:cs="Times New Roman" w:eastAsiaTheme="minorEastAsia"/>
                <w:kern w:val="0"/>
                <w:sz w:val="20"/>
                <w:szCs w:val="20"/>
              </w:rPr>
            </w:pPr>
          </w:p>
        </w:tc>
        <w:tc>
          <w:tcPr>
            <w:tcW w:w="848"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四类车</w:t>
            </w:r>
          </w:p>
        </w:tc>
        <w:tc>
          <w:tcPr>
            <w:tcW w:w="1319"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hint="eastAsia" w:ascii="Times New Roman" w:hAnsi="Times New Roman" w:cs="Times New Roman" w:eastAsiaTheme="minorEastAsia"/>
                <w:kern w:val="0"/>
                <w:sz w:val="20"/>
                <w:szCs w:val="20"/>
              </w:rPr>
              <w:t>600</w:t>
            </w:r>
          </w:p>
        </w:tc>
        <w:tc>
          <w:tcPr>
            <w:tcW w:w="2169"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trPr>
        <w:tc>
          <w:tcPr>
            <w:tcW w:w="663" w:type="pct"/>
            <w:vMerge w:val="continue"/>
            <w:vAlign w:val="center"/>
          </w:tcPr>
          <w:p>
            <w:pPr>
              <w:widowControl/>
              <w:spacing w:line="230" w:lineRule="exact"/>
              <w:jc w:val="left"/>
              <w:rPr>
                <w:rFonts w:ascii="Times New Roman" w:hAnsi="Times New Roman" w:cs="Times New Roman" w:eastAsiaTheme="minorEastAsia"/>
                <w:kern w:val="0"/>
                <w:sz w:val="20"/>
                <w:szCs w:val="20"/>
              </w:rPr>
            </w:pPr>
          </w:p>
        </w:tc>
        <w:tc>
          <w:tcPr>
            <w:tcW w:w="848"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五类车</w:t>
            </w:r>
          </w:p>
        </w:tc>
        <w:tc>
          <w:tcPr>
            <w:tcW w:w="1319"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hint="eastAsia" w:ascii="Times New Roman" w:hAnsi="Times New Roman" w:cs="Times New Roman" w:eastAsiaTheme="minorEastAsia"/>
                <w:kern w:val="0"/>
                <w:sz w:val="20"/>
                <w:szCs w:val="20"/>
              </w:rPr>
              <w:t>700</w:t>
            </w:r>
          </w:p>
        </w:tc>
        <w:tc>
          <w:tcPr>
            <w:tcW w:w="2169"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663" w:type="pct"/>
            <w:vMerge w:val="restart"/>
            <w:tcMar>
              <w:top w:w="0" w:type="dxa"/>
              <w:left w:w="108" w:type="dxa"/>
              <w:bottom w:w="0" w:type="dxa"/>
              <w:right w:w="108" w:type="dxa"/>
            </w:tcMar>
            <w:vAlign w:val="center"/>
          </w:tcPr>
          <w:p>
            <w:pPr>
              <w:widowControl/>
              <w:spacing w:line="230" w:lineRule="exact"/>
              <w:ind w:left="-84" w:leftChars="-40" w:right="-84" w:rightChars="-40"/>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吊车</w:t>
            </w:r>
          </w:p>
        </w:tc>
        <w:tc>
          <w:tcPr>
            <w:tcW w:w="848"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一类车</w:t>
            </w:r>
          </w:p>
        </w:tc>
        <w:tc>
          <w:tcPr>
            <w:tcW w:w="3489" w:type="pct"/>
            <w:gridSpan w:val="4"/>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400元/车·次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663" w:type="pct"/>
            <w:vMerge w:val="continue"/>
            <w:vAlign w:val="center"/>
          </w:tcPr>
          <w:p>
            <w:pPr>
              <w:widowControl/>
              <w:spacing w:line="230" w:lineRule="exact"/>
              <w:ind w:left="-84" w:leftChars="-40" w:right="-84" w:rightChars="-40"/>
              <w:jc w:val="left"/>
              <w:rPr>
                <w:rFonts w:ascii="Times New Roman" w:hAnsi="Times New Roman" w:cs="Times New Roman" w:eastAsiaTheme="minorEastAsia"/>
                <w:kern w:val="0"/>
                <w:sz w:val="20"/>
                <w:szCs w:val="20"/>
              </w:rPr>
            </w:pPr>
          </w:p>
        </w:tc>
        <w:tc>
          <w:tcPr>
            <w:tcW w:w="848"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二类车</w:t>
            </w:r>
          </w:p>
        </w:tc>
        <w:tc>
          <w:tcPr>
            <w:tcW w:w="3489" w:type="pct"/>
            <w:gridSpan w:val="4"/>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800元/车·次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 w:hRule="atLeast"/>
        </w:trPr>
        <w:tc>
          <w:tcPr>
            <w:tcW w:w="663" w:type="pct"/>
            <w:vMerge w:val="continue"/>
            <w:vAlign w:val="center"/>
          </w:tcPr>
          <w:p>
            <w:pPr>
              <w:widowControl/>
              <w:spacing w:line="230" w:lineRule="exact"/>
              <w:ind w:left="-84" w:leftChars="-40" w:right="-84" w:rightChars="-40"/>
              <w:jc w:val="left"/>
              <w:rPr>
                <w:rFonts w:ascii="Times New Roman" w:hAnsi="Times New Roman" w:cs="Times New Roman" w:eastAsiaTheme="minorEastAsia"/>
                <w:kern w:val="0"/>
                <w:sz w:val="20"/>
                <w:szCs w:val="20"/>
              </w:rPr>
            </w:pPr>
          </w:p>
        </w:tc>
        <w:tc>
          <w:tcPr>
            <w:tcW w:w="848"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三类车</w:t>
            </w:r>
          </w:p>
        </w:tc>
        <w:tc>
          <w:tcPr>
            <w:tcW w:w="3489" w:type="pct"/>
            <w:gridSpan w:val="4"/>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1200元/车·次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663" w:type="pct"/>
            <w:vMerge w:val="continue"/>
            <w:vAlign w:val="center"/>
          </w:tcPr>
          <w:p>
            <w:pPr>
              <w:widowControl/>
              <w:spacing w:line="230" w:lineRule="exact"/>
              <w:ind w:left="-84" w:leftChars="-40" w:right="-84" w:rightChars="-40"/>
              <w:jc w:val="left"/>
              <w:rPr>
                <w:rFonts w:ascii="Times New Roman" w:hAnsi="Times New Roman" w:cs="Times New Roman" w:eastAsiaTheme="minorEastAsia"/>
                <w:kern w:val="0"/>
                <w:sz w:val="20"/>
                <w:szCs w:val="20"/>
              </w:rPr>
            </w:pPr>
          </w:p>
        </w:tc>
        <w:tc>
          <w:tcPr>
            <w:tcW w:w="848"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四类车</w:t>
            </w:r>
          </w:p>
        </w:tc>
        <w:tc>
          <w:tcPr>
            <w:tcW w:w="3489" w:type="pct"/>
            <w:gridSpan w:val="4"/>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1600元/车·次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rPr>
        <w:tc>
          <w:tcPr>
            <w:tcW w:w="663" w:type="pct"/>
            <w:vMerge w:val="continue"/>
            <w:vAlign w:val="center"/>
          </w:tcPr>
          <w:p>
            <w:pPr>
              <w:widowControl/>
              <w:spacing w:line="230" w:lineRule="exact"/>
              <w:ind w:left="-84" w:leftChars="-40" w:right="-84" w:rightChars="-40"/>
              <w:jc w:val="left"/>
              <w:rPr>
                <w:rFonts w:ascii="Times New Roman" w:hAnsi="Times New Roman" w:cs="Times New Roman" w:eastAsiaTheme="minorEastAsia"/>
                <w:kern w:val="0"/>
                <w:sz w:val="20"/>
                <w:szCs w:val="20"/>
              </w:rPr>
            </w:pPr>
          </w:p>
        </w:tc>
        <w:tc>
          <w:tcPr>
            <w:tcW w:w="848"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五类车</w:t>
            </w:r>
          </w:p>
        </w:tc>
        <w:tc>
          <w:tcPr>
            <w:tcW w:w="3489" w:type="pct"/>
            <w:gridSpan w:val="4"/>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2500元/车·次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663" w:type="pct"/>
            <w:vMerge w:val="continue"/>
            <w:vAlign w:val="center"/>
          </w:tcPr>
          <w:p>
            <w:pPr>
              <w:widowControl/>
              <w:spacing w:line="230" w:lineRule="exact"/>
              <w:ind w:left="-84" w:leftChars="-40" w:right="-84" w:rightChars="-40"/>
              <w:jc w:val="left"/>
              <w:rPr>
                <w:rFonts w:ascii="Times New Roman" w:hAnsi="Times New Roman" w:cs="Times New Roman" w:eastAsiaTheme="minorEastAsia"/>
                <w:kern w:val="0"/>
                <w:sz w:val="20"/>
                <w:szCs w:val="20"/>
              </w:rPr>
            </w:pPr>
          </w:p>
        </w:tc>
        <w:tc>
          <w:tcPr>
            <w:tcW w:w="848"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吊货物</w:t>
            </w:r>
          </w:p>
        </w:tc>
        <w:tc>
          <w:tcPr>
            <w:tcW w:w="3489" w:type="pct"/>
            <w:gridSpan w:val="4"/>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20元/吨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663" w:type="pct"/>
            <w:tcMar>
              <w:top w:w="0" w:type="dxa"/>
              <w:left w:w="108" w:type="dxa"/>
              <w:bottom w:w="0" w:type="dxa"/>
              <w:right w:w="108" w:type="dxa"/>
            </w:tcMar>
            <w:vAlign w:val="center"/>
          </w:tcPr>
          <w:p>
            <w:pPr>
              <w:widowControl/>
              <w:spacing w:line="230" w:lineRule="exact"/>
              <w:ind w:left="-84" w:leftChars="-40" w:right="-84" w:rightChars="-40"/>
              <w:jc w:val="center"/>
              <w:rPr>
                <w:rFonts w:ascii="Times New Roman" w:hAnsi="Times New Roman" w:cs="Times New Roman" w:eastAsiaTheme="minorEastAsia"/>
                <w:spacing w:val="-6"/>
                <w:kern w:val="0"/>
                <w:sz w:val="20"/>
                <w:szCs w:val="20"/>
              </w:rPr>
            </w:pPr>
            <w:r>
              <w:rPr>
                <w:rFonts w:ascii="Times New Roman" w:hAnsi="Times New Roman" w:cs="Times New Roman" w:eastAsiaTheme="minorEastAsia"/>
                <w:spacing w:val="-6"/>
                <w:kern w:val="0"/>
                <w:sz w:val="20"/>
                <w:szCs w:val="20"/>
              </w:rPr>
              <w:t>平板车</w:t>
            </w:r>
          </w:p>
        </w:tc>
        <w:tc>
          <w:tcPr>
            <w:tcW w:w="4337" w:type="pct"/>
            <w:gridSpan w:val="5"/>
            <w:tcMar>
              <w:top w:w="0" w:type="dxa"/>
              <w:left w:w="108" w:type="dxa"/>
              <w:bottom w:w="0" w:type="dxa"/>
              <w:right w:w="108" w:type="dxa"/>
            </w:tcMar>
            <w:vAlign w:val="center"/>
          </w:tcPr>
          <w:p>
            <w:pPr>
              <w:widowControl/>
              <w:spacing w:line="230" w:lineRule="exac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一、二类车按拖车收费标准执行。三类车1</w:t>
            </w:r>
            <w:r>
              <w:rPr>
                <w:rFonts w:hint="eastAsia" w:ascii="Times New Roman" w:hAnsi="Times New Roman" w:cs="Times New Roman" w:eastAsiaTheme="minorEastAsia"/>
                <w:kern w:val="0"/>
                <w:sz w:val="20"/>
                <w:szCs w:val="20"/>
              </w:rPr>
              <w:t>1</w:t>
            </w:r>
            <w:r>
              <w:rPr>
                <w:rFonts w:ascii="Times New Roman" w:hAnsi="Times New Roman" w:cs="Times New Roman" w:eastAsiaTheme="minorEastAsia"/>
                <w:kern w:val="0"/>
                <w:sz w:val="20"/>
                <w:szCs w:val="20"/>
              </w:rPr>
              <w:t>00元/车·次，四类车1</w:t>
            </w:r>
            <w:r>
              <w:rPr>
                <w:rFonts w:hint="eastAsia" w:ascii="Times New Roman" w:hAnsi="Times New Roman" w:cs="Times New Roman" w:eastAsiaTheme="minorEastAsia"/>
                <w:kern w:val="0"/>
                <w:sz w:val="20"/>
                <w:szCs w:val="20"/>
              </w:rPr>
              <w:t>3</w:t>
            </w:r>
            <w:r>
              <w:rPr>
                <w:rFonts w:ascii="Times New Roman" w:hAnsi="Times New Roman" w:cs="Times New Roman" w:eastAsiaTheme="minorEastAsia"/>
                <w:kern w:val="0"/>
                <w:sz w:val="20"/>
                <w:szCs w:val="20"/>
              </w:rPr>
              <w:t>00元/车·次，五类车1</w:t>
            </w:r>
            <w:r>
              <w:rPr>
                <w:rFonts w:hint="eastAsia" w:ascii="Times New Roman" w:hAnsi="Times New Roman" w:cs="Times New Roman" w:eastAsiaTheme="minorEastAsia"/>
                <w:kern w:val="0"/>
                <w:sz w:val="20"/>
                <w:szCs w:val="20"/>
              </w:rPr>
              <w:t>6</w:t>
            </w:r>
            <w:r>
              <w:rPr>
                <w:rFonts w:ascii="Times New Roman" w:hAnsi="Times New Roman" w:cs="Times New Roman" w:eastAsiaTheme="minorEastAsia"/>
                <w:kern w:val="0"/>
                <w:sz w:val="20"/>
                <w:szCs w:val="20"/>
              </w:rPr>
              <w:t>00元/车·次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trPr>
        <w:tc>
          <w:tcPr>
            <w:tcW w:w="663" w:type="pct"/>
            <w:tcMar>
              <w:top w:w="0" w:type="dxa"/>
              <w:left w:w="108" w:type="dxa"/>
              <w:bottom w:w="0" w:type="dxa"/>
              <w:right w:w="108" w:type="dxa"/>
            </w:tcMar>
            <w:vAlign w:val="center"/>
          </w:tcPr>
          <w:p>
            <w:pPr>
              <w:widowControl/>
              <w:spacing w:line="230" w:lineRule="exact"/>
              <w:ind w:left="-84" w:leftChars="-40" w:right="-84" w:rightChars="-40"/>
              <w:jc w:val="center"/>
              <w:rPr>
                <w:rFonts w:ascii="Times New Roman" w:hAnsi="Times New Roman" w:cs="Times New Roman" w:eastAsiaTheme="minorEastAsia"/>
                <w:spacing w:val="-6"/>
                <w:kern w:val="0"/>
                <w:sz w:val="20"/>
                <w:szCs w:val="20"/>
              </w:rPr>
            </w:pPr>
            <w:r>
              <w:rPr>
                <w:rFonts w:ascii="Times New Roman" w:hAnsi="Times New Roman" w:cs="Times New Roman" w:eastAsiaTheme="minorEastAsia"/>
                <w:spacing w:val="-6"/>
                <w:kern w:val="0"/>
                <w:sz w:val="20"/>
                <w:szCs w:val="20"/>
              </w:rPr>
              <w:t>更换车头牵引</w:t>
            </w:r>
          </w:p>
        </w:tc>
        <w:tc>
          <w:tcPr>
            <w:tcW w:w="4337" w:type="pct"/>
            <w:gridSpan w:val="5"/>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1</w:t>
            </w:r>
            <w:r>
              <w:rPr>
                <w:rFonts w:hint="eastAsia" w:ascii="Times New Roman" w:hAnsi="Times New Roman" w:cs="Times New Roman" w:eastAsiaTheme="minorEastAsia"/>
                <w:kern w:val="0"/>
                <w:sz w:val="20"/>
                <w:szCs w:val="20"/>
              </w:rPr>
              <w:t>3</w:t>
            </w:r>
            <w:r>
              <w:rPr>
                <w:rFonts w:ascii="Times New Roman" w:hAnsi="Times New Roman" w:cs="Times New Roman" w:eastAsiaTheme="minorEastAsia"/>
                <w:kern w:val="0"/>
                <w:sz w:val="20"/>
                <w:szCs w:val="20"/>
              </w:rPr>
              <w:t>00元/车·次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trPr>
        <w:tc>
          <w:tcPr>
            <w:tcW w:w="663" w:type="pct"/>
            <w:vMerge w:val="restart"/>
            <w:tcMar>
              <w:top w:w="0" w:type="dxa"/>
              <w:left w:w="108" w:type="dxa"/>
              <w:bottom w:w="0" w:type="dxa"/>
              <w:right w:w="108" w:type="dxa"/>
            </w:tcMar>
            <w:vAlign w:val="center"/>
          </w:tcPr>
          <w:p>
            <w:pPr>
              <w:widowControl/>
              <w:spacing w:line="230" w:lineRule="exact"/>
              <w:ind w:left="-84" w:leftChars="-40" w:right="-84" w:rightChars="-40"/>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货物</w:t>
            </w:r>
          </w:p>
          <w:p>
            <w:pPr>
              <w:widowControl/>
              <w:spacing w:line="230" w:lineRule="exact"/>
              <w:ind w:left="-84" w:leftChars="-40" w:right="-84" w:rightChars="-40"/>
              <w:jc w:val="center"/>
              <w:rPr>
                <w:rFonts w:ascii="Times New Roman" w:hAnsi="Times New Roman" w:cs="Times New Roman" w:eastAsiaTheme="minorEastAsia"/>
                <w:spacing w:val="-6"/>
                <w:kern w:val="0"/>
                <w:sz w:val="20"/>
                <w:szCs w:val="20"/>
              </w:rPr>
            </w:pPr>
            <w:r>
              <w:rPr>
                <w:rFonts w:ascii="Times New Roman" w:hAnsi="Times New Roman" w:cs="Times New Roman" w:eastAsiaTheme="minorEastAsia"/>
                <w:kern w:val="0"/>
                <w:sz w:val="20"/>
                <w:szCs w:val="20"/>
              </w:rPr>
              <w:t>装卸</w:t>
            </w:r>
          </w:p>
        </w:tc>
        <w:tc>
          <w:tcPr>
            <w:tcW w:w="1238" w:type="pct"/>
            <w:gridSpan w:val="2"/>
            <w:vMerge w:val="restar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铲车或叉车</w:t>
            </w:r>
          </w:p>
        </w:tc>
        <w:tc>
          <w:tcPr>
            <w:tcW w:w="1140"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基价</w:t>
            </w:r>
          </w:p>
        </w:tc>
        <w:tc>
          <w:tcPr>
            <w:tcW w:w="1959"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装卸费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663" w:type="pct"/>
            <w:vMerge w:val="continue"/>
            <w:vAlign w:val="center"/>
          </w:tcPr>
          <w:p>
            <w:pPr>
              <w:widowControl/>
              <w:spacing w:line="230" w:lineRule="exact"/>
              <w:ind w:left="-84" w:leftChars="-40" w:right="-84" w:rightChars="-40"/>
              <w:jc w:val="center"/>
              <w:rPr>
                <w:rFonts w:ascii="Times New Roman" w:hAnsi="Times New Roman" w:cs="Times New Roman" w:eastAsiaTheme="minorEastAsia"/>
                <w:spacing w:val="-6"/>
                <w:kern w:val="0"/>
                <w:sz w:val="20"/>
                <w:szCs w:val="20"/>
              </w:rPr>
            </w:pPr>
          </w:p>
        </w:tc>
        <w:tc>
          <w:tcPr>
            <w:tcW w:w="1238" w:type="pct"/>
            <w:gridSpan w:val="2"/>
            <w:vMerge w:val="continue"/>
            <w:vAlign w:val="center"/>
          </w:tcPr>
          <w:p>
            <w:pPr>
              <w:widowControl/>
              <w:spacing w:line="230" w:lineRule="exact"/>
              <w:jc w:val="left"/>
              <w:rPr>
                <w:rFonts w:ascii="Times New Roman" w:hAnsi="Times New Roman" w:cs="Times New Roman" w:eastAsiaTheme="minorEastAsia"/>
                <w:kern w:val="0"/>
                <w:sz w:val="20"/>
                <w:szCs w:val="20"/>
              </w:rPr>
            </w:pPr>
          </w:p>
        </w:tc>
        <w:tc>
          <w:tcPr>
            <w:tcW w:w="1140"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300元/车·次</w:t>
            </w:r>
          </w:p>
        </w:tc>
        <w:tc>
          <w:tcPr>
            <w:tcW w:w="1959" w:type="pct"/>
            <w:tcMar>
              <w:top w:w="0" w:type="dxa"/>
              <w:left w:w="108" w:type="dxa"/>
              <w:bottom w:w="0" w:type="dxa"/>
              <w:right w:w="108" w:type="dxa"/>
            </w:tcMar>
            <w:vAlign w:val="center"/>
          </w:tcPr>
          <w:p>
            <w:pPr>
              <w:widowControl/>
              <w:spacing w:line="230" w:lineRule="exact"/>
              <w:jc w:val="lef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40元/吨（不足1吨按1吨计）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trPr>
        <w:tc>
          <w:tcPr>
            <w:tcW w:w="663" w:type="pct"/>
            <w:vMerge w:val="continue"/>
            <w:vAlign w:val="center"/>
          </w:tcPr>
          <w:p>
            <w:pPr>
              <w:widowControl/>
              <w:spacing w:line="230" w:lineRule="exact"/>
              <w:ind w:left="-84" w:leftChars="-40" w:right="-84" w:rightChars="-40"/>
              <w:jc w:val="center"/>
              <w:rPr>
                <w:rFonts w:ascii="Times New Roman" w:hAnsi="Times New Roman" w:cs="Times New Roman" w:eastAsiaTheme="minorEastAsia"/>
                <w:spacing w:val="-6"/>
                <w:kern w:val="0"/>
                <w:sz w:val="20"/>
                <w:szCs w:val="20"/>
              </w:rPr>
            </w:pPr>
          </w:p>
        </w:tc>
        <w:tc>
          <w:tcPr>
            <w:tcW w:w="1238"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人工</w:t>
            </w:r>
          </w:p>
        </w:tc>
        <w:tc>
          <w:tcPr>
            <w:tcW w:w="3099" w:type="pct"/>
            <w:gridSpan w:val="3"/>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80元/吨（不足1吨按1吨计）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663" w:type="pct"/>
            <w:vMerge w:val="restart"/>
            <w:tcMar>
              <w:top w:w="0" w:type="dxa"/>
              <w:left w:w="108" w:type="dxa"/>
              <w:bottom w:w="0" w:type="dxa"/>
              <w:right w:w="108" w:type="dxa"/>
            </w:tcMar>
            <w:vAlign w:val="center"/>
          </w:tcPr>
          <w:p>
            <w:pPr>
              <w:widowControl/>
              <w:spacing w:line="230" w:lineRule="exact"/>
              <w:ind w:left="-105" w:leftChars="-50" w:right="-105" w:rightChars="-50"/>
              <w:jc w:val="center"/>
              <w:rPr>
                <w:rFonts w:ascii="Times New Roman" w:hAnsi="Times New Roman" w:cs="Times New Roman" w:eastAsiaTheme="minorEastAsia"/>
                <w:spacing w:val="-10"/>
                <w:kern w:val="0"/>
                <w:sz w:val="20"/>
                <w:szCs w:val="20"/>
              </w:rPr>
            </w:pPr>
            <w:r>
              <w:rPr>
                <w:rFonts w:ascii="Times New Roman" w:hAnsi="Times New Roman" w:cs="Times New Roman" w:eastAsiaTheme="minorEastAsia"/>
                <w:spacing w:val="-10"/>
                <w:kern w:val="0"/>
                <w:sz w:val="20"/>
                <w:szCs w:val="20"/>
              </w:rPr>
              <w:t>车辆</w:t>
            </w:r>
          </w:p>
          <w:p>
            <w:pPr>
              <w:widowControl/>
              <w:spacing w:line="230" w:lineRule="exact"/>
              <w:ind w:left="-105" w:leftChars="-50" w:right="-105" w:rightChars="-50"/>
              <w:jc w:val="center"/>
              <w:rPr>
                <w:rFonts w:ascii="Times New Roman" w:hAnsi="Times New Roman" w:cs="Times New Roman" w:eastAsiaTheme="minorEastAsia"/>
                <w:spacing w:val="-6"/>
                <w:kern w:val="0"/>
                <w:sz w:val="20"/>
                <w:szCs w:val="20"/>
              </w:rPr>
            </w:pPr>
            <w:r>
              <w:rPr>
                <w:rFonts w:ascii="Times New Roman" w:hAnsi="Times New Roman" w:cs="Times New Roman" w:eastAsiaTheme="minorEastAsia"/>
                <w:spacing w:val="-10"/>
                <w:kern w:val="0"/>
                <w:sz w:val="20"/>
                <w:szCs w:val="20"/>
              </w:rPr>
              <w:t>（货</w:t>
            </w:r>
            <w:r>
              <w:rPr>
                <w:rFonts w:ascii="Times New Roman" w:hAnsi="Times New Roman" w:cs="Times New Roman" w:eastAsiaTheme="minorEastAsia"/>
                <w:spacing w:val="-6"/>
                <w:kern w:val="0"/>
                <w:sz w:val="20"/>
                <w:szCs w:val="20"/>
              </w:rPr>
              <w:t>物）停车</w:t>
            </w:r>
          </w:p>
          <w:p>
            <w:pPr>
              <w:widowControl/>
              <w:spacing w:line="230" w:lineRule="exact"/>
              <w:ind w:left="-105" w:leftChars="-50" w:right="-105" w:rightChars="-50"/>
              <w:jc w:val="center"/>
              <w:rPr>
                <w:rFonts w:ascii="Times New Roman" w:hAnsi="Times New Roman" w:cs="Times New Roman" w:eastAsiaTheme="minorEastAsia"/>
                <w:spacing w:val="-6"/>
                <w:kern w:val="0"/>
                <w:sz w:val="20"/>
                <w:szCs w:val="20"/>
              </w:rPr>
            </w:pPr>
            <w:r>
              <w:rPr>
                <w:rFonts w:ascii="Times New Roman" w:hAnsi="Times New Roman" w:cs="Times New Roman" w:eastAsiaTheme="minorEastAsia"/>
                <w:spacing w:val="-6"/>
                <w:kern w:val="0"/>
                <w:sz w:val="20"/>
                <w:szCs w:val="20"/>
              </w:rPr>
              <w:t>看护</w:t>
            </w:r>
          </w:p>
        </w:tc>
        <w:tc>
          <w:tcPr>
            <w:tcW w:w="1238"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　</w:t>
            </w:r>
          </w:p>
        </w:tc>
        <w:tc>
          <w:tcPr>
            <w:tcW w:w="1140"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空车</w:t>
            </w:r>
          </w:p>
        </w:tc>
        <w:tc>
          <w:tcPr>
            <w:tcW w:w="1959" w:type="pct"/>
            <w:tcMar>
              <w:top w:w="0" w:type="dxa"/>
              <w:left w:w="108" w:type="dxa"/>
              <w:bottom w:w="0" w:type="dxa"/>
              <w:right w:w="108" w:type="dxa"/>
            </w:tcMar>
            <w:vAlign w:val="center"/>
          </w:tcPr>
          <w:p>
            <w:pPr>
              <w:widowControl/>
              <w:spacing w:line="230" w:lineRule="exact"/>
              <w:jc w:val="lef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载有货物车辆（包括货物）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663" w:type="pct"/>
            <w:vMerge w:val="continue"/>
            <w:vAlign w:val="center"/>
          </w:tcPr>
          <w:p>
            <w:pPr>
              <w:widowControl/>
              <w:spacing w:line="230" w:lineRule="exact"/>
              <w:jc w:val="left"/>
              <w:rPr>
                <w:rFonts w:ascii="Times New Roman" w:hAnsi="Times New Roman" w:cs="Times New Roman" w:eastAsiaTheme="minorEastAsia"/>
                <w:kern w:val="0"/>
                <w:sz w:val="20"/>
                <w:szCs w:val="20"/>
              </w:rPr>
            </w:pPr>
          </w:p>
        </w:tc>
        <w:tc>
          <w:tcPr>
            <w:tcW w:w="1238"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车辆</w:t>
            </w:r>
          </w:p>
        </w:tc>
        <w:tc>
          <w:tcPr>
            <w:tcW w:w="1140"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30元/车·天</w:t>
            </w:r>
          </w:p>
        </w:tc>
        <w:tc>
          <w:tcPr>
            <w:tcW w:w="1959" w:type="pct"/>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35元/车·天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663" w:type="pct"/>
            <w:vMerge w:val="continue"/>
            <w:vAlign w:val="center"/>
          </w:tcPr>
          <w:p>
            <w:pPr>
              <w:widowControl/>
              <w:spacing w:line="230" w:lineRule="exact"/>
              <w:jc w:val="left"/>
              <w:rPr>
                <w:rFonts w:ascii="Times New Roman" w:hAnsi="Times New Roman" w:cs="Times New Roman" w:eastAsiaTheme="minorEastAsia"/>
                <w:kern w:val="0"/>
                <w:sz w:val="20"/>
                <w:szCs w:val="20"/>
              </w:rPr>
            </w:pPr>
          </w:p>
        </w:tc>
        <w:tc>
          <w:tcPr>
            <w:tcW w:w="1238" w:type="pct"/>
            <w:gridSpan w:val="2"/>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单独货物</w:t>
            </w:r>
          </w:p>
        </w:tc>
        <w:tc>
          <w:tcPr>
            <w:tcW w:w="3099" w:type="pct"/>
            <w:gridSpan w:val="3"/>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2元/吨·天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trPr>
        <w:tc>
          <w:tcPr>
            <w:tcW w:w="663" w:type="pct"/>
            <w:tcMar>
              <w:top w:w="0" w:type="dxa"/>
              <w:left w:w="108" w:type="dxa"/>
              <w:bottom w:w="0" w:type="dxa"/>
              <w:right w:w="108" w:type="dxa"/>
            </w:tcMar>
            <w:vAlign w:val="center"/>
          </w:tcPr>
          <w:p>
            <w:pPr>
              <w:widowControl/>
              <w:spacing w:line="230" w:lineRule="exact"/>
              <w:ind w:left="-84" w:leftChars="-40" w:right="-84" w:rightChars="-40"/>
              <w:jc w:val="center"/>
              <w:rPr>
                <w:rFonts w:ascii="Times New Roman" w:hAnsi="Times New Roman" w:cs="Times New Roman" w:eastAsiaTheme="minorEastAsia"/>
                <w:spacing w:val="-6"/>
                <w:kern w:val="0"/>
                <w:sz w:val="20"/>
                <w:szCs w:val="20"/>
              </w:rPr>
            </w:pPr>
            <w:r>
              <w:rPr>
                <w:rFonts w:ascii="Times New Roman" w:hAnsi="Times New Roman" w:cs="Times New Roman" w:eastAsiaTheme="minorEastAsia"/>
                <w:spacing w:val="-6"/>
                <w:kern w:val="0"/>
                <w:sz w:val="20"/>
                <w:szCs w:val="20"/>
              </w:rPr>
              <w:t>换轮胎</w:t>
            </w:r>
          </w:p>
        </w:tc>
        <w:tc>
          <w:tcPr>
            <w:tcW w:w="4337" w:type="pct"/>
            <w:gridSpan w:val="5"/>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50元/个（每车最高150元）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trPr>
        <w:tc>
          <w:tcPr>
            <w:tcW w:w="663" w:type="pct"/>
            <w:tcMar>
              <w:top w:w="0" w:type="dxa"/>
              <w:left w:w="108" w:type="dxa"/>
              <w:bottom w:w="0" w:type="dxa"/>
              <w:right w:w="108" w:type="dxa"/>
            </w:tcMar>
            <w:vAlign w:val="center"/>
          </w:tcPr>
          <w:p>
            <w:pPr>
              <w:widowControl/>
              <w:spacing w:line="230" w:lineRule="exact"/>
              <w:ind w:left="-84" w:leftChars="-40" w:right="-84" w:rightChars="-40"/>
              <w:jc w:val="center"/>
              <w:rPr>
                <w:rFonts w:ascii="Times New Roman" w:hAnsi="Times New Roman" w:cs="Times New Roman" w:eastAsiaTheme="minorEastAsia"/>
                <w:spacing w:val="-6"/>
                <w:kern w:val="0"/>
                <w:sz w:val="20"/>
                <w:szCs w:val="20"/>
              </w:rPr>
            </w:pPr>
            <w:r>
              <w:rPr>
                <w:rFonts w:ascii="Times New Roman" w:hAnsi="Times New Roman" w:cs="Times New Roman" w:eastAsiaTheme="minorEastAsia"/>
                <w:spacing w:val="-6"/>
                <w:kern w:val="0"/>
                <w:sz w:val="20"/>
                <w:szCs w:val="20"/>
              </w:rPr>
              <w:t>解刹车</w:t>
            </w:r>
          </w:p>
        </w:tc>
        <w:tc>
          <w:tcPr>
            <w:tcW w:w="4337" w:type="pct"/>
            <w:gridSpan w:val="5"/>
            <w:tcMar>
              <w:top w:w="0" w:type="dxa"/>
              <w:left w:w="108" w:type="dxa"/>
              <w:bottom w:w="0" w:type="dxa"/>
              <w:right w:w="108" w:type="dxa"/>
            </w:tcMar>
            <w:vAlign w:val="center"/>
          </w:tcPr>
          <w:p>
            <w:pPr>
              <w:widowControl/>
              <w:spacing w:line="23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50元/轴（每车最高150元）</w:t>
            </w:r>
          </w:p>
        </w:tc>
      </w:tr>
    </w:tbl>
    <w:p>
      <w:pPr>
        <w:widowControl/>
        <w:wordWrap w:val="0"/>
        <w:spacing w:line="340" w:lineRule="exact"/>
        <w:rPr>
          <w:rFonts w:ascii="Times New Roman" w:hAnsi="Times New Roman" w:eastAsia="仿宋_GB2312" w:cs="Times New Roman"/>
          <w:sz w:val="18"/>
          <w:szCs w:val="18"/>
        </w:rPr>
      </w:pPr>
      <w:r>
        <w:rPr>
          <w:rFonts w:ascii="Times New Roman" w:hAnsi="Times New Roman" w:eastAsia="仿宋_GB2312" w:cs="Times New Roman"/>
          <w:sz w:val="18"/>
          <w:szCs w:val="18"/>
        </w:rPr>
        <w:t>说明：</w:t>
      </w:r>
    </w:p>
    <w:p>
      <w:pPr>
        <w:wordWrap w:val="0"/>
        <w:spacing w:line="340" w:lineRule="exact"/>
        <w:ind w:firstLine="360" w:firstLineChars="200"/>
        <w:rPr>
          <w:rFonts w:ascii="Times New Roman" w:hAnsi="Times New Roman" w:eastAsia="仿宋_GB2312" w:cs="Times New Roman"/>
          <w:sz w:val="18"/>
          <w:szCs w:val="18"/>
        </w:rPr>
      </w:pPr>
      <w:r>
        <w:rPr>
          <w:rFonts w:ascii="Times New Roman" w:hAnsi="Times New Roman" w:eastAsia="仿宋_GB2312" w:cs="Times New Roman"/>
          <w:sz w:val="18"/>
          <w:szCs w:val="18"/>
        </w:rPr>
        <w:t>1．拖车、吊车、平板车救援清障服务收费按被救援车辆车型计费。车型分类按交通运输部行业标准执行。</w:t>
      </w:r>
    </w:p>
    <w:p>
      <w:pPr>
        <w:wordWrap w:val="0"/>
        <w:spacing w:line="340" w:lineRule="exact"/>
        <w:ind w:firstLine="360" w:firstLineChars="200"/>
        <w:rPr>
          <w:rFonts w:ascii="Times New Roman" w:hAnsi="Times New Roman" w:eastAsia="仿宋_GB2312" w:cs="Times New Roman"/>
          <w:sz w:val="18"/>
          <w:szCs w:val="18"/>
        </w:rPr>
      </w:pPr>
      <w:r>
        <w:rPr>
          <w:rFonts w:ascii="Times New Roman" w:hAnsi="Times New Roman" w:eastAsia="仿宋_GB2312" w:cs="Times New Roman"/>
          <w:sz w:val="18"/>
          <w:szCs w:val="18"/>
        </w:rPr>
        <w:t>2．吊车费是指将被救援车辆施救吊装并在停车场完成吊卸收取的费用。在同一事故现场，同一辆吊车对两辆以上事故车辆施救，每辆按60%计收。拖车费从现场拖车救援时计收。</w:t>
      </w:r>
    </w:p>
    <w:p>
      <w:pPr>
        <w:wordWrap w:val="0"/>
        <w:spacing w:line="340" w:lineRule="exact"/>
        <w:ind w:firstLine="360" w:firstLineChars="200"/>
        <w:rPr>
          <w:rFonts w:ascii="Times New Roman" w:hAnsi="Times New Roman" w:eastAsia="仿宋_GB2312" w:cs="Times New Roman"/>
          <w:sz w:val="18"/>
          <w:szCs w:val="18"/>
        </w:rPr>
      </w:pPr>
      <w:r>
        <w:rPr>
          <w:rFonts w:ascii="Times New Roman" w:hAnsi="Times New Roman" w:eastAsia="仿宋_GB2312" w:cs="Times New Roman"/>
          <w:sz w:val="18"/>
          <w:szCs w:val="18"/>
        </w:rPr>
        <w:t>3．货物装卸费是指从被救援车辆卸载至场地并从场地装运至转运车辆收取的费用。从被救援车辆直接装运至转运车辆或装、卸分离时，按装卸费的50%计收。</w:t>
      </w:r>
    </w:p>
    <w:p>
      <w:pPr>
        <w:wordWrap w:val="0"/>
        <w:spacing w:line="340" w:lineRule="exact"/>
        <w:ind w:firstLine="360" w:firstLineChars="200"/>
        <w:rPr>
          <w:rFonts w:ascii="Times New Roman" w:hAnsi="Times New Roman" w:eastAsia="仿宋_GB2312" w:cs="Times New Roman"/>
          <w:sz w:val="18"/>
          <w:szCs w:val="18"/>
        </w:rPr>
      </w:pPr>
      <w:r>
        <w:rPr>
          <w:rFonts w:ascii="Times New Roman" w:hAnsi="Times New Roman" w:eastAsia="仿宋_GB2312" w:cs="Times New Roman"/>
          <w:sz w:val="18"/>
          <w:szCs w:val="18"/>
        </w:rPr>
        <w:t>4．拖、吊运载国家规定的易燃、易爆及放射性等危险品和车辆，应在监管相关危险品的政府主管部门统一组织下进行，收费标准可在上述标准基础上上浮30%。</w:t>
      </w:r>
    </w:p>
    <w:p>
      <w:pPr>
        <w:wordWrap w:val="0"/>
        <w:spacing w:line="340" w:lineRule="exact"/>
        <w:ind w:firstLine="360" w:firstLineChars="200"/>
        <w:rPr>
          <w:rFonts w:ascii="Times New Roman" w:hAnsi="Times New Roman" w:eastAsia="仿宋_GB2312" w:cs="Times New Roman"/>
          <w:sz w:val="18"/>
          <w:szCs w:val="18"/>
        </w:rPr>
      </w:pPr>
      <w:r>
        <w:rPr>
          <w:rFonts w:ascii="Times New Roman" w:hAnsi="Times New Roman" w:eastAsia="仿宋_GB2312" w:cs="Times New Roman"/>
          <w:sz w:val="18"/>
          <w:szCs w:val="18"/>
        </w:rPr>
        <w:t>5．救援过程中拖车同时开展吊车作业，收取拖车费后，吊车收费按50%计收。</w:t>
      </w:r>
    </w:p>
    <w:p>
      <w:pPr>
        <w:wordWrap w:val="0"/>
        <w:spacing w:line="340" w:lineRule="exact"/>
        <w:ind w:firstLine="360" w:firstLineChars="200"/>
        <w:rPr>
          <w:rFonts w:ascii="Times New Roman" w:hAnsi="Times New Roman" w:eastAsia="仿宋_GB2312" w:cs="Times New Roman"/>
          <w:sz w:val="18"/>
          <w:szCs w:val="18"/>
        </w:rPr>
      </w:pPr>
      <w:r>
        <w:rPr>
          <w:rFonts w:ascii="Times New Roman" w:hAnsi="Times New Roman" w:eastAsia="仿宋_GB2312" w:cs="Times New Roman"/>
          <w:sz w:val="18"/>
          <w:szCs w:val="18"/>
        </w:rPr>
        <w:t>6．救援车辆到达现场，因车主原因不需救援的，按基价的60%计收。吊车按收费标准的50%计收。</w:t>
      </w:r>
    </w:p>
    <w:p>
      <w:pPr>
        <w:wordWrap w:val="0"/>
        <w:spacing w:line="340" w:lineRule="exact"/>
        <w:ind w:firstLine="360" w:firstLineChars="200"/>
        <w:rPr>
          <w:rFonts w:ascii="Times New Roman" w:hAnsi="Times New Roman" w:eastAsia="仿宋_GB2312" w:cs="Times New Roman"/>
          <w:sz w:val="18"/>
          <w:szCs w:val="18"/>
        </w:rPr>
      </w:pPr>
      <w:r>
        <w:rPr>
          <w:rFonts w:ascii="Times New Roman" w:hAnsi="Times New Roman" w:eastAsia="仿宋_GB2312" w:cs="Times New Roman"/>
          <w:sz w:val="18"/>
          <w:szCs w:val="18"/>
        </w:rPr>
        <w:t>7．车辆（货物）停车看护费执行各市收费标准，但不得超过上述标准。</w:t>
      </w:r>
    </w:p>
    <w:p>
      <w:pPr>
        <w:wordWrap w:val="0"/>
        <w:spacing w:line="340" w:lineRule="exact"/>
        <w:ind w:firstLine="360" w:firstLineChars="200"/>
        <w:rPr>
          <w:rFonts w:ascii="Times New Roman" w:hAnsi="Times New Roman" w:eastAsia="黑体" w:cs="Times New Roman"/>
          <w:sz w:val="24"/>
        </w:rPr>
      </w:pPr>
      <w:r>
        <w:rPr>
          <w:rFonts w:ascii="Times New Roman" w:hAnsi="Times New Roman" w:eastAsia="仿宋_GB2312" w:cs="Times New Roman"/>
          <w:sz w:val="18"/>
          <w:szCs w:val="18"/>
        </w:rPr>
        <w:t>8．上述标准为最高收费标准。本通知未列入的收费项目，其收费标准由车主与救援清障机构协商确定，存在争议的，通过价格评估、调解等方式解决。</w:t>
      </w:r>
      <w:r>
        <w:rPr>
          <w:rFonts w:ascii="Times New Roman" w:hAnsi="Times New Roman" w:eastAsia="仿宋_GB2312" w:cs="Times New Roman"/>
          <w:sz w:val="18"/>
          <w:szCs w:val="18"/>
        </w:rPr>
        <w:br w:type="page"/>
      </w:r>
      <w:r>
        <w:rPr>
          <w:rFonts w:ascii="Times New Roman" w:hAnsi="Times New Roman" w:eastAsia="黑体" w:cs="Times New Roman"/>
          <w:sz w:val="24"/>
        </w:rPr>
        <w:t>四、</w:t>
      </w:r>
      <w:r>
        <w:rPr>
          <w:rFonts w:hint="eastAsia" w:ascii="Times New Roman" w:hAnsi="Times New Roman" w:eastAsia="黑体" w:cs="Times New Roman"/>
          <w:sz w:val="24"/>
        </w:rPr>
        <w:t>政府定价</w:t>
      </w:r>
      <w:r>
        <w:rPr>
          <w:rFonts w:ascii="Times New Roman" w:hAnsi="Times New Roman" w:eastAsia="黑体" w:cs="Times New Roman"/>
          <w:sz w:val="24"/>
        </w:rPr>
        <w:t>停车场收费标准</w:t>
      </w:r>
    </w:p>
    <w:p>
      <w:pPr>
        <w:spacing w:line="100" w:lineRule="exact"/>
        <w:jc w:val="left"/>
        <w:rPr>
          <w:rFonts w:ascii="Times New Roman" w:hAnsi="Times New Roman" w:eastAsia="黑体" w:cs="Times New Roman"/>
          <w:sz w:val="24"/>
        </w:rPr>
      </w:pPr>
    </w:p>
    <w:p>
      <w:pPr>
        <w:spacing w:line="320" w:lineRule="exact"/>
        <w:jc w:val="left"/>
        <w:rPr>
          <w:rFonts w:cs="Times New Roman" w:asciiTheme="minorEastAsia" w:hAnsiTheme="minorEastAsia" w:eastAsiaTheme="minorEastAsia"/>
          <w:sz w:val="24"/>
        </w:rPr>
      </w:pPr>
      <w:r>
        <w:rPr>
          <w:rFonts w:cs="Times New Roman" w:asciiTheme="minorEastAsia" w:hAnsiTheme="minorEastAsia" w:eastAsiaTheme="minorEastAsia"/>
          <w:sz w:val="24"/>
        </w:rPr>
        <w:t>1.泰安市城区</w:t>
      </w:r>
      <w:r>
        <w:rPr>
          <w:rFonts w:hint="eastAsia" w:cs="Times New Roman" w:asciiTheme="minorEastAsia" w:hAnsiTheme="minorEastAsia" w:eastAsiaTheme="minorEastAsia"/>
          <w:sz w:val="24"/>
        </w:rPr>
        <w:t>政府定价</w:t>
      </w:r>
      <w:r>
        <w:rPr>
          <w:rFonts w:cs="Times New Roman" w:asciiTheme="minorEastAsia" w:hAnsiTheme="minorEastAsia" w:eastAsiaTheme="minorEastAsia"/>
          <w:sz w:val="24"/>
        </w:rPr>
        <w:t>停车场</w:t>
      </w:r>
      <w:r>
        <w:rPr>
          <w:rFonts w:hint="eastAsia" w:cs="Times New Roman" w:asciiTheme="minorEastAsia" w:hAnsiTheme="minorEastAsia" w:eastAsiaTheme="minorEastAsia"/>
          <w:sz w:val="24"/>
        </w:rPr>
        <w:t>收费</w:t>
      </w:r>
    </w:p>
    <w:p>
      <w:pPr>
        <w:spacing w:line="120" w:lineRule="exact"/>
        <w:jc w:val="left"/>
        <w:rPr>
          <w:rFonts w:ascii="Times New Roman" w:hAnsi="Times New Roman" w:eastAsia="楷体_GB2312" w:cs="Times New Roman"/>
          <w:sz w:val="24"/>
        </w:rPr>
      </w:pPr>
    </w:p>
    <w:tbl>
      <w:tblPr>
        <w:tblStyle w:val="11"/>
        <w:tblW w:w="49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5"/>
        <w:gridCol w:w="776"/>
        <w:gridCol w:w="738"/>
        <w:gridCol w:w="754"/>
        <w:gridCol w:w="850"/>
        <w:gridCol w:w="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jc w:val="center"/>
        </w:trPr>
        <w:tc>
          <w:tcPr>
            <w:tcW w:w="1671" w:type="dxa"/>
            <w:gridSpan w:val="2"/>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cs="宋体" w:asciiTheme="minorEastAsia" w:hAnsiTheme="minorEastAsia" w:eastAsiaTheme="minorEastAsia"/>
                <w:bCs/>
                <w:sz w:val="16"/>
                <w:szCs w:val="16"/>
              </w:rPr>
            </w:pPr>
            <w:r>
              <w:rPr>
                <w:rFonts w:hint="eastAsia" w:cs="宋体" w:asciiTheme="minorEastAsia" w:hAnsiTheme="minorEastAsia" w:eastAsiaTheme="minorEastAsia"/>
                <w:bCs/>
                <w:sz w:val="16"/>
                <w:szCs w:val="16"/>
              </w:rPr>
              <w:t>停车场</w:t>
            </w:r>
          </w:p>
          <w:p>
            <w:pPr>
              <w:autoSpaceDE w:val="0"/>
              <w:autoSpaceDN w:val="0"/>
              <w:spacing w:line="320" w:lineRule="exact"/>
              <w:jc w:val="center"/>
              <w:rPr>
                <w:rFonts w:cs="宋体" w:asciiTheme="minorEastAsia" w:hAnsiTheme="minorEastAsia" w:eastAsiaTheme="minorEastAsia"/>
                <w:bCs/>
                <w:kern w:val="32"/>
                <w:sz w:val="16"/>
                <w:szCs w:val="16"/>
              </w:rPr>
            </w:pPr>
            <w:r>
              <w:rPr>
                <w:rFonts w:hint="eastAsia" w:cs="宋体" w:asciiTheme="minorEastAsia" w:hAnsiTheme="minorEastAsia" w:eastAsiaTheme="minorEastAsia"/>
                <w:bCs/>
                <w:sz w:val="16"/>
                <w:szCs w:val="16"/>
              </w:rPr>
              <w:t>区域位置</w:t>
            </w:r>
          </w:p>
        </w:tc>
        <w:tc>
          <w:tcPr>
            <w:tcW w:w="738"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line="320" w:lineRule="exact"/>
              <w:jc w:val="center"/>
              <w:rPr>
                <w:rFonts w:cs="宋体" w:asciiTheme="minorEastAsia" w:hAnsiTheme="minorEastAsia" w:eastAsiaTheme="minorEastAsia"/>
                <w:bCs/>
                <w:kern w:val="32"/>
                <w:sz w:val="16"/>
                <w:szCs w:val="16"/>
              </w:rPr>
            </w:pPr>
            <w:r>
              <w:rPr>
                <w:rFonts w:hint="eastAsia" w:cs="宋体" w:asciiTheme="minorEastAsia" w:hAnsiTheme="minorEastAsia" w:eastAsiaTheme="minorEastAsia"/>
                <w:bCs/>
                <w:kern w:val="32"/>
                <w:sz w:val="16"/>
                <w:szCs w:val="16"/>
              </w:rPr>
              <w:t>车型</w:t>
            </w:r>
          </w:p>
        </w:tc>
        <w:tc>
          <w:tcPr>
            <w:tcW w:w="7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cs="宋体" w:asciiTheme="minorEastAsia" w:hAnsiTheme="minorEastAsia" w:eastAsiaTheme="minorEastAsia"/>
                <w:bCs/>
                <w:kern w:val="32"/>
                <w:sz w:val="16"/>
                <w:szCs w:val="16"/>
              </w:rPr>
            </w:pPr>
            <w:r>
              <w:rPr>
                <w:rFonts w:hint="eastAsia" w:cs="宋体" w:asciiTheme="minorEastAsia" w:hAnsiTheme="minorEastAsia" w:eastAsiaTheme="minorEastAsia"/>
                <w:bCs/>
                <w:kern w:val="32"/>
                <w:sz w:val="16"/>
                <w:szCs w:val="16"/>
              </w:rPr>
              <w:t>计费</w:t>
            </w:r>
          </w:p>
          <w:p>
            <w:pPr>
              <w:autoSpaceDE w:val="0"/>
              <w:autoSpaceDN w:val="0"/>
              <w:spacing w:line="320" w:lineRule="exact"/>
              <w:jc w:val="center"/>
              <w:rPr>
                <w:rFonts w:cs="宋体" w:asciiTheme="minorEastAsia" w:hAnsiTheme="minorEastAsia" w:eastAsiaTheme="minorEastAsia"/>
                <w:bCs/>
                <w:kern w:val="32"/>
                <w:sz w:val="16"/>
                <w:szCs w:val="16"/>
              </w:rPr>
            </w:pPr>
            <w:r>
              <w:rPr>
                <w:rFonts w:hint="eastAsia" w:cs="宋体" w:asciiTheme="minorEastAsia" w:hAnsiTheme="minorEastAsia" w:eastAsiaTheme="minorEastAsia"/>
                <w:bCs/>
                <w:kern w:val="32"/>
                <w:sz w:val="16"/>
                <w:szCs w:val="16"/>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cs="宋体" w:asciiTheme="minorEastAsia" w:hAnsiTheme="minorEastAsia" w:eastAsiaTheme="minorEastAsia"/>
                <w:bCs/>
                <w:kern w:val="32"/>
                <w:sz w:val="16"/>
                <w:szCs w:val="16"/>
              </w:rPr>
            </w:pPr>
            <w:r>
              <w:rPr>
                <w:rFonts w:hint="eastAsia" w:cs="宋体" w:asciiTheme="minorEastAsia" w:hAnsiTheme="minorEastAsia" w:eastAsiaTheme="minorEastAsia"/>
                <w:bCs/>
                <w:kern w:val="32"/>
                <w:sz w:val="16"/>
                <w:szCs w:val="16"/>
              </w:rPr>
              <w:t>收费标准（元）</w:t>
            </w:r>
          </w:p>
        </w:tc>
        <w:tc>
          <w:tcPr>
            <w:tcW w:w="8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cs="宋体" w:asciiTheme="minorEastAsia" w:hAnsiTheme="minorEastAsia" w:eastAsiaTheme="minorEastAsia"/>
                <w:bCs/>
                <w:kern w:val="32"/>
                <w:sz w:val="16"/>
                <w:szCs w:val="16"/>
              </w:rPr>
            </w:pPr>
            <w:r>
              <w:rPr>
                <w:rFonts w:hint="eastAsia" w:cs="宋体" w:asciiTheme="minorEastAsia" w:hAnsiTheme="minorEastAsia" w:eastAsiaTheme="minorEastAsia"/>
                <w:bCs/>
                <w:spacing w:val="-20"/>
                <w:kern w:val="32"/>
                <w:sz w:val="16"/>
                <w:szCs w:val="16"/>
              </w:rPr>
              <w:t>一 日 最 高（24小时）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sz w:val="16"/>
                <w:szCs w:val="16"/>
              </w:rPr>
            </w:pPr>
            <w:r>
              <w:rPr>
                <w:rFonts w:hint="eastAsia" w:cs="宋体" w:asciiTheme="minorEastAsia" w:hAnsiTheme="minorEastAsia" w:eastAsiaTheme="minorEastAsia"/>
                <w:sz w:val="16"/>
                <w:szCs w:val="16"/>
              </w:rPr>
              <w:t>一类区域</w:t>
            </w:r>
          </w:p>
          <w:p>
            <w:pPr>
              <w:autoSpaceDE w:val="0"/>
              <w:autoSpaceDN w:val="0"/>
              <w:spacing w:line="280" w:lineRule="exact"/>
              <w:jc w:val="center"/>
              <w:rPr>
                <w:rFonts w:cs="方正小标宋简体" w:asciiTheme="minorEastAsia" w:hAnsiTheme="minorEastAsia" w:eastAsiaTheme="minorEastAsia"/>
                <w:sz w:val="16"/>
                <w:szCs w:val="16"/>
              </w:rPr>
            </w:pPr>
            <w:r>
              <w:rPr>
                <w:rFonts w:hint="eastAsia" w:cs="方正小标宋简体" w:asciiTheme="minorEastAsia" w:hAnsiTheme="minorEastAsia" w:eastAsiaTheme="minorEastAsia"/>
                <w:sz w:val="16"/>
                <w:szCs w:val="16"/>
              </w:rPr>
              <w:t>停车场</w:t>
            </w:r>
          </w:p>
          <w:p>
            <w:pPr>
              <w:autoSpaceDE w:val="0"/>
              <w:autoSpaceDN w:val="0"/>
              <w:spacing w:line="280" w:lineRule="exact"/>
              <w:jc w:val="center"/>
              <w:rPr>
                <w:rFonts w:cs="宋体" w:asciiTheme="minorEastAsia" w:hAnsiTheme="minorEastAsia" w:eastAsiaTheme="minorEastAsia"/>
                <w:bCs/>
                <w:sz w:val="16"/>
                <w:szCs w:val="16"/>
              </w:rPr>
            </w:pPr>
          </w:p>
          <w:p>
            <w:pPr>
              <w:autoSpaceDE w:val="0"/>
              <w:autoSpaceDN w:val="0"/>
              <w:adjustRightInd w:val="0"/>
              <w:spacing w:line="280" w:lineRule="exact"/>
              <w:jc w:val="center"/>
              <w:rPr>
                <w:rFonts w:cs="方正小标宋简体" w:asciiTheme="minorEastAsia" w:hAnsiTheme="minorEastAsia" w:eastAsiaTheme="minorEastAsia"/>
                <w:sz w:val="16"/>
                <w:szCs w:val="16"/>
              </w:rPr>
            </w:pPr>
            <w:r>
              <w:rPr>
                <w:rFonts w:hint="eastAsia" w:cs="宋体" w:asciiTheme="minorEastAsia" w:hAnsiTheme="minorEastAsia" w:eastAsiaTheme="minorEastAsia"/>
                <w:bCs/>
                <w:sz w:val="16"/>
                <w:szCs w:val="16"/>
              </w:rPr>
              <w:t>(西起桃花源路，泰山景区以南至万官大街以北，东至天烛峰路)</w:t>
            </w:r>
          </w:p>
        </w:tc>
        <w:tc>
          <w:tcPr>
            <w:tcW w:w="776" w:type="dxa"/>
            <w:vMerge w:val="restart"/>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泰山景区停车场</w:t>
            </w:r>
          </w:p>
        </w:tc>
        <w:tc>
          <w:tcPr>
            <w:tcW w:w="738"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小型车</w:t>
            </w:r>
          </w:p>
        </w:tc>
        <w:tc>
          <w:tcPr>
            <w:tcW w:w="7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30分钟</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最高2.5</w:t>
            </w:r>
          </w:p>
        </w:tc>
        <w:tc>
          <w:tcPr>
            <w:tcW w:w="8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895" w:type="dxa"/>
            <w:vMerge w:val="continue"/>
            <w:tcBorders>
              <w:top w:val="single" w:color="000000" w:sz="4" w:space="0"/>
              <w:left w:val="single" w:color="000000" w:sz="4" w:space="0"/>
              <w:bottom w:val="single" w:color="000000" w:sz="4" w:space="0"/>
              <w:right w:val="single" w:color="000000" w:sz="4" w:space="0"/>
            </w:tcBorders>
            <w:vAlign w:val="center"/>
          </w:tcPr>
          <w:p>
            <w:pPr>
              <w:rPr>
                <w:rFonts w:cs="方正小标宋简体" w:asciiTheme="minorEastAsia" w:hAnsiTheme="minorEastAsia" w:eastAsiaTheme="minorEastAsia"/>
                <w:sz w:val="16"/>
                <w:szCs w:val="16"/>
              </w:rPr>
            </w:pPr>
          </w:p>
        </w:tc>
        <w:tc>
          <w:tcPr>
            <w:tcW w:w="776" w:type="dxa"/>
            <w:vMerge w:val="continue"/>
            <w:tcBorders>
              <w:top w:val="single" w:color="000000" w:sz="4" w:space="0"/>
              <w:left w:val="single" w:color="000000" w:sz="4" w:space="0"/>
              <w:bottom w:val="single" w:color="000000" w:sz="4" w:space="0"/>
              <w:right w:val="single" w:color="auto" w:sz="4" w:space="0"/>
            </w:tcBorders>
            <w:vAlign w:val="center"/>
          </w:tcPr>
          <w:p>
            <w:pPr>
              <w:rPr>
                <w:rFonts w:cs="宋体" w:asciiTheme="minorEastAsia" w:hAnsiTheme="minorEastAsia" w:eastAsiaTheme="minorEastAsia"/>
                <w:kern w:val="32"/>
                <w:sz w:val="16"/>
                <w:szCs w:val="16"/>
              </w:rPr>
            </w:pPr>
          </w:p>
        </w:tc>
        <w:tc>
          <w:tcPr>
            <w:tcW w:w="738"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中型车</w:t>
            </w:r>
          </w:p>
        </w:tc>
        <w:tc>
          <w:tcPr>
            <w:tcW w:w="7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30分钟</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最高3.0</w:t>
            </w:r>
          </w:p>
        </w:tc>
        <w:tc>
          <w:tcPr>
            <w:tcW w:w="8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895" w:type="dxa"/>
            <w:vMerge w:val="continue"/>
            <w:tcBorders>
              <w:top w:val="single" w:color="000000" w:sz="4" w:space="0"/>
              <w:left w:val="single" w:color="000000" w:sz="4" w:space="0"/>
              <w:bottom w:val="single" w:color="000000" w:sz="4" w:space="0"/>
              <w:right w:val="single" w:color="000000" w:sz="4" w:space="0"/>
            </w:tcBorders>
            <w:vAlign w:val="center"/>
          </w:tcPr>
          <w:p>
            <w:pPr>
              <w:rPr>
                <w:rFonts w:cs="方正小标宋简体" w:asciiTheme="minorEastAsia" w:hAnsiTheme="minorEastAsia" w:eastAsiaTheme="minorEastAsia"/>
                <w:sz w:val="16"/>
                <w:szCs w:val="16"/>
              </w:rPr>
            </w:pPr>
          </w:p>
        </w:tc>
        <w:tc>
          <w:tcPr>
            <w:tcW w:w="776" w:type="dxa"/>
            <w:vMerge w:val="continue"/>
            <w:tcBorders>
              <w:top w:val="single" w:color="000000" w:sz="4" w:space="0"/>
              <w:left w:val="single" w:color="000000" w:sz="4" w:space="0"/>
              <w:bottom w:val="single" w:color="000000" w:sz="4" w:space="0"/>
              <w:right w:val="single" w:color="auto" w:sz="4" w:space="0"/>
            </w:tcBorders>
            <w:vAlign w:val="center"/>
          </w:tcPr>
          <w:p>
            <w:pPr>
              <w:rPr>
                <w:rFonts w:cs="宋体" w:asciiTheme="minorEastAsia" w:hAnsiTheme="minorEastAsia" w:eastAsiaTheme="minorEastAsia"/>
                <w:kern w:val="32"/>
                <w:sz w:val="16"/>
                <w:szCs w:val="16"/>
              </w:rPr>
            </w:pPr>
          </w:p>
        </w:tc>
        <w:tc>
          <w:tcPr>
            <w:tcW w:w="738"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大型车</w:t>
            </w:r>
          </w:p>
        </w:tc>
        <w:tc>
          <w:tcPr>
            <w:tcW w:w="7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30分钟</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最高3.5</w:t>
            </w:r>
          </w:p>
        </w:tc>
        <w:tc>
          <w:tcPr>
            <w:tcW w:w="8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895" w:type="dxa"/>
            <w:vMerge w:val="continue"/>
            <w:tcBorders>
              <w:top w:val="single" w:color="000000" w:sz="4" w:space="0"/>
              <w:left w:val="single" w:color="000000" w:sz="4" w:space="0"/>
              <w:bottom w:val="single" w:color="000000" w:sz="4" w:space="0"/>
              <w:right w:val="single" w:color="000000" w:sz="4" w:space="0"/>
            </w:tcBorders>
            <w:vAlign w:val="center"/>
          </w:tcPr>
          <w:p>
            <w:pPr>
              <w:rPr>
                <w:rFonts w:cs="方正小标宋简体" w:asciiTheme="minorEastAsia" w:hAnsiTheme="minorEastAsia" w:eastAsiaTheme="minorEastAsia"/>
                <w:sz w:val="16"/>
                <w:szCs w:val="16"/>
              </w:rPr>
            </w:pPr>
          </w:p>
        </w:tc>
        <w:tc>
          <w:tcPr>
            <w:tcW w:w="776" w:type="dxa"/>
            <w:vMerge w:val="restart"/>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280" w:lineRule="exact"/>
              <w:jc w:val="center"/>
              <w:rPr>
                <w:rFonts w:cs="宋体" w:asciiTheme="minorEastAsia" w:hAnsiTheme="minorEastAsia" w:eastAsiaTheme="minorEastAsia"/>
                <w:sz w:val="16"/>
                <w:szCs w:val="16"/>
              </w:rPr>
            </w:pPr>
            <w:r>
              <w:rPr>
                <w:rFonts w:hint="eastAsia" w:cs="宋体" w:asciiTheme="minorEastAsia" w:hAnsiTheme="minorEastAsia" w:eastAsiaTheme="minorEastAsia"/>
                <w:sz w:val="16"/>
                <w:szCs w:val="16"/>
              </w:rPr>
              <w:t>一类区域</w:t>
            </w:r>
          </w:p>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内其它停车场</w:t>
            </w:r>
          </w:p>
        </w:tc>
        <w:tc>
          <w:tcPr>
            <w:tcW w:w="738"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小型车</w:t>
            </w:r>
          </w:p>
        </w:tc>
        <w:tc>
          <w:tcPr>
            <w:tcW w:w="7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30分钟</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1.0</w:t>
            </w:r>
          </w:p>
        </w:tc>
        <w:tc>
          <w:tcPr>
            <w:tcW w:w="8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895" w:type="dxa"/>
            <w:vMerge w:val="continue"/>
            <w:tcBorders>
              <w:top w:val="single" w:color="000000" w:sz="4" w:space="0"/>
              <w:left w:val="single" w:color="000000" w:sz="4" w:space="0"/>
              <w:bottom w:val="single" w:color="000000" w:sz="4" w:space="0"/>
              <w:right w:val="single" w:color="000000" w:sz="4" w:space="0"/>
            </w:tcBorders>
            <w:vAlign w:val="center"/>
          </w:tcPr>
          <w:p>
            <w:pPr>
              <w:rPr>
                <w:rFonts w:cs="方正小标宋简体" w:asciiTheme="minorEastAsia" w:hAnsiTheme="minorEastAsia" w:eastAsiaTheme="minorEastAsia"/>
                <w:sz w:val="16"/>
                <w:szCs w:val="16"/>
              </w:rPr>
            </w:pPr>
          </w:p>
        </w:tc>
        <w:tc>
          <w:tcPr>
            <w:tcW w:w="776" w:type="dxa"/>
            <w:vMerge w:val="continue"/>
            <w:tcBorders>
              <w:top w:val="single" w:color="000000" w:sz="4" w:space="0"/>
              <w:left w:val="single" w:color="000000" w:sz="4" w:space="0"/>
              <w:bottom w:val="single" w:color="000000" w:sz="4" w:space="0"/>
              <w:right w:val="single" w:color="auto" w:sz="4" w:space="0"/>
            </w:tcBorders>
            <w:vAlign w:val="center"/>
          </w:tcPr>
          <w:p>
            <w:pPr>
              <w:rPr>
                <w:rFonts w:cs="宋体" w:asciiTheme="minorEastAsia" w:hAnsiTheme="minorEastAsia" w:eastAsiaTheme="minorEastAsia"/>
                <w:kern w:val="32"/>
                <w:sz w:val="16"/>
                <w:szCs w:val="16"/>
              </w:rPr>
            </w:pPr>
          </w:p>
        </w:tc>
        <w:tc>
          <w:tcPr>
            <w:tcW w:w="738"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中型车</w:t>
            </w:r>
          </w:p>
        </w:tc>
        <w:tc>
          <w:tcPr>
            <w:tcW w:w="7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30分钟</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1.5</w:t>
            </w:r>
          </w:p>
        </w:tc>
        <w:tc>
          <w:tcPr>
            <w:tcW w:w="8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95" w:type="dxa"/>
            <w:vMerge w:val="continue"/>
            <w:tcBorders>
              <w:top w:val="single" w:color="000000" w:sz="4" w:space="0"/>
              <w:left w:val="single" w:color="000000" w:sz="4" w:space="0"/>
              <w:bottom w:val="single" w:color="000000" w:sz="4" w:space="0"/>
              <w:right w:val="single" w:color="000000" w:sz="4" w:space="0"/>
            </w:tcBorders>
            <w:vAlign w:val="center"/>
          </w:tcPr>
          <w:p>
            <w:pPr>
              <w:rPr>
                <w:rFonts w:cs="方正小标宋简体" w:asciiTheme="minorEastAsia" w:hAnsiTheme="minorEastAsia" w:eastAsiaTheme="minorEastAsia"/>
                <w:sz w:val="16"/>
                <w:szCs w:val="16"/>
              </w:rPr>
            </w:pPr>
          </w:p>
        </w:tc>
        <w:tc>
          <w:tcPr>
            <w:tcW w:w="776" w:type="dxa"/>
            <w:vMerge w:val="continue"/>
            <w:tcBorders>
              <w:top w:val="single" w:color="000000" w:sz="4" w:space="0"/>
              <w:left w:val="single" w:color="000000" w:sz="4" w:space="0"/>
              <w:bottom w:val="single" w:color="000000" w:sz="4" w:space="0"/>
              <w:right w:val="single" w:color="auto" w:sz="4" w:space="0"/>
            </w:tcBorders>
            <w:vAlign w:val="center"/>
          </w:tcPr>
          <w:p>
            <w:pPr>
              <w:rPr>
                <w:rFonts w:cs="宋体" w:asciiTheme="minorEastAsia" w:hAnsiTheme="minorEastAsia" w:eastAsiaTheme="minorEastAsia"/>
                <w:kern w:val="32"/>
                <w:sz w:val="16"/>
                <w:szCs w:val="16"/>
              </w:rPr>
            </w:pPr>
          </w:p>
        </w:tc>
        <w:tc>
          <w:tcPr>
            <w:tcW w:w="738"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大型车</w:t>
            </w:r>
          </w:p>
        </w:tc>
        <w:tc>
          <w:tcPr>
            <w:tcW w:w="7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30分钟</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2.0</w:t>
            </w:r>
          </w:p>
        </w:tc>
        <w:tc>
          <w:tcPr>
            <w:tcW w:w="8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895" w:type="dxa"/>
            <w:vMerge w:val="continue"/>
            <w:tcBorders>
              <w:top w:val="single" w:color="000000" w:sz="4" w:space="0"/>
              <w:left w:val="single" w:color="000000" w:sz="4" w:space="0"/>
              <w:bottom w:val="single" w:color="000000" w:sz="4" w:space="0"/>
              <w:right w:val="single" w:color="000000" w:sz="4" w:space="0"/>
            </w:tcBorders>
            <w:vAlign w:val="center"/>
          </w:tcPr>
          <w:p>
            <w:pPr>
              <w:rPr>
                <w:rFonts w:cs="方正小标宋简体" w:asciiTheme="minorEastAsia" w:hAnsiTheme="minorEastAsia" w:eastAsiaTheme="minorEastAsia"/>
                <w:sz w:val="16"/>
                <w:szCs w:val="16"/>
              </w:rPr>
            </w:pPr>
          </w:p>
        </w:tc>
        <w:tc>
          <w:tcPr>
            <w:tcW w:w="4013"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position w:val="-4"/>
                <w:sz w:val="16"/>
                <w:szCs w:val="16"/>
              </w:rPr>
              <w:t>高铁泰安站停车场（位）单独制定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95"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bCs/>
                <w:sz w:val="16"/>
                <w:szCs w:val="16"/>
              </w:rPr>
            </w:pPr>
            <w:r>
              <w:rPr>
                <w:rFonts w:hint="eastAsia" w:cs="宋体" w:asciiTheme="minorEastAsia" w:hAnsiTheme="minorEastAsia" w:eastAsiaTheme="minorEastAsia"/>
                <w:bCs/>
                <w:sz w:val="16"/>
                <w:szCs w:val="16"/>
              </w:rPr>
              <w:t>二类区域</w:t>
            </w:r>
          </w:p>
          <w:p>
            <w:pPr>
              <w:autoSpaceDE w:val="0"/>
              <w:autoSpaceDN w:val="0"/>
              <w:spacing w:line="280" w:lineRule="exact"/>
              <w:jc w:val="center"/>
              <w:rPr>
                <w:rFonts w:cs="宋体" w:asciiTheme="minorEastAsia" w:hAnsiTheme="minorEastAsia" w:eastAsiaTheme="minorEastAsia"/>
                <w:bCs/>
                <w:sz w:val="16"/>
                <w:szCs w:val="16"/>
              </w:rPr>
            </w:pPr>
            <w:r>
              <w:rPr>
                <w:rFonts w:hint="eastAsia" w:cs="宋体" w:asciiTheme="minorEastAsia" w:hAnsiTheme="minorEastAsia" w:eastAsiaTheme="minorEastAsia"/>
                <w:bCs/>
                <w:sz w:val="16"/>
                <w:szCs w:val="16"/>
              </w:rPr>
              <w:t>停车场</w:t>
            </w:r>
          </w:p>
          <w:p>
            <w:pPr>
              <w:autoSpaceDE w:val="0"/>
              <w:autoSpaceDN w:val="0"/>
              <w:adjustRightInd w:val="0"/>
              <w:spacing w:line="280" w:lineRule="exact"/>
              <w:jc w:val="center"/>
              <w:rPr>
                <w:rFonts w:cs="宋体" w:asciiTheme="minorEastAsia" w:hAnsiTheme="minorEastAsia" w:eastAsiaTheme="minorEastAsia"/>
                <w:bCs/>
                <w:sz w:val="16"/>
                <w:szCs w:val="16"/>
              </w:rPr>
            </w:pPr>
            <w:r>
              <w:rPr>
                <w:rFonts w:hint="eastAsia" w:cs="宋体" w:asciiTheme="minorEastAsia" w:hAnsiTheme="minorEastAsia" w:eastAsiaTheme="minorEastAsia"/>
                <w:bCs/>
                <w:sz w:val="16"/>
                <w:szCs w:val="16"/>
              </w:rPr>
              <w:t>（</w:t>
            </w:r>
            <w:r>
              <w:rPr>
                <w:rFonts w:hint="eastAsia" w:cs="宋体" w:asciiTheme="minorEastAsia" w:hAnsiTheme="minorEastAsia" w:eastAsiaTheme="minorEastAsia"/>
                <w:sz w:val="16"/>
                <w:szCs w:val="16"/>
              </w:rPr>
              <w:t>一类区域</w:t>
            </w:r>
            <w:r>
              <w:rPr>
                <w:rFonts w:hint="eastAsia" w:cs="宋体" w:asciiTheme="minorEastAsia" w:hAnsiTheme="minorEastAsia" w:eastAsiaTheme="minorEastAsia"/>
                <w:bCs/>
                <w:sz w:val="16"/>
                <w:szCs w:val="16"/>
              </w:rPr>
              <w:t>以外的区域）</w:t>
            </w:r>
          </w:p>
        </w:tc>
        <w:tc>
          <w:tcPr>
            <w:tcW w:w="15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小型车</w:t>
            </w:r>
          </w:p>
        </w:tc>
        <w:tc>
          <w:tcPr>
            <w:tcW w:w="7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小时</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1.0</w:t>
            </w:r>
          </w:p>
        </w:tc>
        <w:tc>
          <w:tcPr>
            <w:tcW w:w="8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895" w:type="dxa"/>
            <w:vMerge w:val="continue"/>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bCs/>
                <w:sz w:val="16"/>
                <w:szCs w:val="16"/>
              </w:rPr>
            </w:pPr>
          </w:p>
        </w:tc>
        <w:tc>
          <w:tcPr>
            <w:tcW w:w="15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中型车</w:t>
            </w:r>
          </w:p>
        </w:tc>
        <w:tc>
          <w:tcPr>
            <w:tcW w:w="754"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kern w:val="32"/>
                <w:position w:val="-4"/>
                <w:sz w:val="16"/>
                <w:szCs w:val="16"/>
              </w:rPr>
            </w:pPr>
            <w:r>
              <w:rPr>
                <w:rFonts w:hint="eastAsia" w:cs="宋体" w:asciiTheme="minorEastAsia" w:hAnsiTheme="minorEastAsia" w:eastAsiaTheme="minorEastAsia"/>
                <w:kern w:val="32"/>
                <w:sz w:val="16"/>
                <w:szCs w:val="16"/>
              </w:rPr>
              <w:t>小时</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2.0</w:t>
            </w:r>
          </w:p>
        </w:tc>
        <w:tc>
          <w:tcPr>
            <w:tcW w:w="8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895" w:type="dxa"/>
            <w:vMerge w:val="continue"/>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bCs/>
                <w:sz w:val="16"/>
                <w:szCs w:val="16"/>
              </w:rPr>
            </w:pPr>
          </w:p>
        </w:tc>
        <w:tc>
          <w:tcPr>
            <w:tcW w:w="15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大型车</w:t>
            </w:r>
          </w:p>
        </w:tc>
        <w:tc>
          <w:tcPr>
            <w:tcW w:w="754"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kern w:val="32"/>
                <w:position w:val="-4"/>
                <w:sz w:val="16"/>
                <w:szCs w:val="16"/>
              </w:rPr>
            </w:pPr>
            <w:r>
              <w:rPr>
                <w:rFonts w:hint="eastAsia" w:cs="宋体" w:asciiTheme="minorEastAsia" w:hAnsiTheme="minorEastAsia" w:eastAsiaTheme="minorEastAsia"/>
                <w:kern w:val="32"/>
                <w:sz w:val="16"/>
                <w:szCs w:val="16"/>
              </w:rPr>
              <w:t>小时</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3.0</w:t>
            </w:r>
          </w:p>
        </w:tc>
        <w:tc>
          <w:tcPr>
            <w:tcW w:w="8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80" w:lineRule="exact"/>
              <w:jc w:val="center"/>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4908" w:type="dxa"/>
            <w:gridSpan w:val="6"/>
            <w:tcBorders>
              <w:top w:val="single" w:color="000000" w:sz="4" w:space="0"/>
              <w:left w:val="single" w:color="000000" w:sz="4" w:space="0"/>
              <w:bottom w:val="single" w:color="000000" w:sz="4" w:space="0"/>
              <w:right w:val="single" w:color="000000" w:sz="4" w:space="0"/>
            </w:tcBorders>
          </w:tcPr>
          <w:p>
            <w:pPr>
              <w:autoSpaceDE w:val="0"/>
              <w:autoSpaceDN w:val="0"/>
              <w:spacing w:line="360" w:lineRule="exact"/>
              <w:rPr>
                <w:rFonts w:cs="宋体" w:asciiTheme="minorEastAsia" w:hAnsiTheme="minorEastAsia" w:eastAsiaTheme="minorEastAsia"/>
                <w:bCs/>
                <w:sz w:val="16"/>
                <w:szCs w:val="16"/>
              </w:rPr>
            </w:pPr>
            <w:r>
              <w:rPr>
                <w:rFonts w:hint="eastAsia" w:cs="宋体" w:asciiTheme="minorEastAsia" w:hAnsiTheme="minorEastAsia" w:eastAsiaTheme="minorEastAsia"/>
                <w:bCs/>
                <w:sz w:val="16"/>
                <w:szCs w:val="16"/>
              </w:rPr>
              <w:t>说明：1.摩托车、三轮电动车、自行（电动）车等，不分白天夜间，均按次计费，每次1元，每日最高2元。</w:t>
            </w:r>
          </w:p>
          <w:p>
            <w:pPr>
              <w:autoSpaceDE w:val="0"/>
              <w:autoSpaceDN w:val="0"/>
              <w:spacing w:line="360" w:lineRule="exact"/>
              <w:rPr>
                <w:rFonts w:cs="宋体" w:asciiTheme="minorEastAsia" w:hAnsiTheme="minorEastAsia" w:eastAsiaTheme="minorEastAsia"/>
                <w:kern w:val="32"/>
                <w:sz w:val="16"/>
                <w:szCs w:val="16"/>
              </w:rPr>
            </w:pPr>
            <w:r>
              <w:rPr>
                <w:rFonts w:hint="eastAsia" w:cs="宋体" w:asciiTheme="minorEastAsia" w:hAnsiTheme="minorEastAsia" w:eastAsiaTheme="minorEastAsia"/>
                <w:bCs/>
                <w:sz w:val="16"/>
                <w:szCs w:val="16"/>
              </w:rPr>
              <w:t xml:space="preserve">    2.城区道路泊位停车收费标准另行制定，以批复文件为依据。</w:t>
            </w:r>
          </w:p>
        </w:tc>
      </w:tr>
    </w:tbl>
    <w:p>
      <w:pPr>
        <w:autoSpaceDE w:val="0"/>
        <w:autoSpaceDN w:val="0"/>
        <w:spacing w:line="280" w:lineRule="exact"/>
        <w:jc w:val="left"/>
        <w:rPr>
          <w:rFonts w:cs="宋体" w:asciiTheme="minorEastAsia" w:hAnsiTheme="minorEastAsia" w:eastAsiaTheme="minorEastAsia"/>
          <w:kern w:val="32"/>
          <w:sz w:val="16"/>
          <w:szCs w:val="16"/>
        </w:rPr>
      </w:pPr>
      <w:r>
        <w:rPr>
          <w:rFonts w:hint="eastAsia" w:cs="宋体" w:asciiTheme="minorEastAsia" w:hAnsiTheme="minorEastAsia" w:eastAsiaTheme="minorEastAsia"/>
          <w:kern w:val="32"/>
          <w:sz w:val="16"/>
          <w:szCs w:val="16"/>
        </w:rPr>
        <w:t xml:space="preserve">    政府定价停车场类型、收费减免等详见泰安市发展改委网站《关于泰安市停车服务收费管理有关问题的通知》（泰发改价格〔2022〕43号）文件</w:t>
      </w:r>
      <w:r>
        <w:rPr>
          <w:rFonts w:cs="宋体" w:asciiTheme="minorEastAsia" w:hAnsiTheme="minorEastAsia" w:eastAsiaTheme="minorEastAsia"/>
          <w:kern w:val="32"/>
          <w:sz w:val="16"/>
          <w:szCs w:val="16"/>
        </w:rPr>
        <w:br w:type="page"/>
      </w:r>
    </w:p>
    <w:p>
      <w:pPr>
        <w:spacing w:line="320" w:lineRule="exact"/>
        <w:jc w:val="center"/>
        <w:rPr>
          <w:rFonts w:cs="Times New Roman" w:asciiTheme="minorEastAsia" w:hAnsiTheme="minorEastAsia" w:eastAsiaTheme="minorEastAsia"/>
          <w:sz w:val="24"/>
        </w:rPr>
      </w:pPr>
      <w:r>
        <w:rPr>
          <w:rFonts w:hint="eastAsia" w:cs="Times New Roman" w:asciiTheme="minorEastAsia" w:hAnsiTheme="minorEastAsia" w:eastAsiaTheme="minorEastAsia"/>
          <w:sz w:val="24"/>
        </w:rPr>
        <w:t>2.京沪高铁泰安站配套停车场收费标准</w:t>
      </w:r>
    </w:p>
    <w:p>
      <w:pPr>
        <w:autoSpaceDN w:val="0"/>
        <w:spacing w:line="120" w:lineRule="exact"/>
        <w:jc w:val="center"/>
        <w:rPr>
          <w:rFonts w:ascii="楷体_GB2312" w:hAnsi="Times New Roman" w:eastAsia="楷体_GB2312" w:cs="Times New Roman"/>
          <w:sz w:val="44"/>
          <w:szCs w:val="44"/>
        </w:rPr>
      </w:pPr>
    </w:p>
    <w:tbl>
      <w:tblPr>
        <w:tblStyle w:val="11"/>
        <w:tblW w:w="4821" w:type="pct"/>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53"/>
        <w:gridCol w:w="1959"/>
        <w:gridCol w:w="194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981" w:type="pct"/>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车型</w:t>
            </w:r>
          </w:p>
          <w:p>
            <w:pPr>
              <w:autoSpaceDN w:val="0"/>
              <w:jc w:val="center"/>
              <w:rPr>
                <w:rFonts w:ascii="Times New Roman" w:hAnsi="Times New Roman" w:eastAsia="黑体" w:cs="Times New Roman"/>
                <w:sz w:val="20"/>
                <w:szCs w:val="20"/>
              </w:rPr>
            </w:pPr>
            <w:r>
              <w:rPr>
                <w:rFonts w:ascii="Times New Roman" w:hAnsi="Times New Roman" w:eastAsia="黑体" w:cs="Times New Roman"/>
                <w:kern w:val="0"/>
                <w:sz w:val="20"/>
                <w:szCs w:val="20"/>
              </w:rPr>
              <w:t>项目</w:t>
            </w:r>
          </w:p>
        </w:tc>
        <w:tc>
          <w:tcPr>
            <w:tcW w:w="2017" w:type="pct"/>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Times New Roman" w:hAnsi="Times New Roman" w:eastAsia="黑体" w:cs="Times New Roman"/>
                <w:sz w:val="20"/>
                <w:szCs w:val="20"/>
              </w:rPr>
            </w:pPr>
            <w:r>
              <w:rPr>
                <w:rFonts w:ascii="Times New Roman" w:hAnsi="Times New Roman" w:eastAsia="黑体" w:cs="Times New Roman"/>
                <w:kern w:val="0"/>
                <w:sz w:val="20"/>
                <w:szCs w:val="20"/>
              </w:rPr>
              <w:t>小型车</w:t>
            </w:r>
          </w:p>
          <w:p>
            <w:pPr>
              <w:autoSpaceDN w:val="0"/>
              <w:jc w:val="center"/>
              <w:rPr>
                <w:rFonts w:ascii="Times New Roman" w:hAnsi="Times New Roman" w:eastAsia="黑体" w:cs="Times New Roman"/>
                <w:sz w:val="20"/>
                <w:szCs w:val="20"/>
              </w:rPr>
            </w:pPr>
            <w:r>
              <w:rPr>
                <w:rFonts w:ascii="Times New Roman" w:hAnsi="Times New Roman" w:eastAsia="黑体" w:cs="Times New Roman"/>
                <w:kern w:val="0"/>
                <w:sz w:val="20"/>
                <w:szCs w:val="20"/>
              </w:rPr>
              <w:t>（20座及以下）</w:t>
            </w:r>
          </w:p>
        </w:tc>
        <w:tc>
          <w:tcPr>
            <w:tcW w:w="2002" w:type="pct"/>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Times New Roman" w:hAnsi="Times New Roman" w:eastAsia="黑体" w:cs="Times New Roman"/>
                <w:sz w:val="20"/>
                <w:szCs w:val="20"/>
              </w:rPr>
            </w:pPr>
            <w:r>
              <w:rPr>
                <w:rFonts w:ascii="Times New Roman" w:hAnsi="Times New Roman" w:eastAsia="黑体" w:cs="Times New Roman"/>
                <w:kern w:val="0"/>
                <w:sz w:val="20"/>
                <w:szCs w:val="20"/>
              </w:rPr>
              <w:t>大型车</w:t>
            </w:r>
          </w:p>
          <w:p>
            <w:pPr>
              <w:autoSpaceDN w:val="0"/>
              <w:jc w:val="center"/>
              <w:rPr>
                <w:rFonts w:ascii="Times New Roman" w:hAnsi="Times New Roman" w:eastAsia="黑体" w:cs="Times New Roman"/>
                <w:sz w:val="20"/>
                <w:szCs w:val="20"/>
              </w:rPr>
            </w:pPr>
            <w:r>
              <w:rPr>
                <w:rFonts w:ascii="Times New Roman" w:hAnsi="Times New Roman" w:eastAsia="黑体" w:cs="Times New Roman"/>
                <w:kern w:val="0"/>
                <w:sz w:val="20"/>
                <w:szCs w:val="20"/>
              </w:rPr>
              <w:t>（20座以上）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788" w:hRule="atLeast"/>
        </w:trPr>
        <w:tc>
          <w:tcPr>
            <w:tcW w:w="981" w:type="pc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ind w:left="-73" w:leftChars="-35" w:right="-73" w:rightChars="-35"/>
              <w:jc w:val="center"/>
              <w:rPr>
                <w:rFonts w:ascii="Times New Roman" w:hAnsi="Times New Roman" w:cs="Times New Roman" w:eastAsiaTheme="majorEastAsia"/>
                <w:sz w:val="20"/>
                <w:szCs w:val="20"/>
              </w:rPr>
            </w:pPr>
            <w:r>
              <w:rPr>
                <w:rFonts w:ascii="Times New Roman" w:hAnsi="Times New Roman" w:cs="Times New Roman" w:eastAsiaTheme="majorEastAsia"/>
                <w:kern w:val="0"/>
                <w:sz w:val="20"/>
                <w:szCs w:val="20"/>
              </w:rPr>
              <w:t>停车服务</w:t>
            </w:r>
          </w:p>
          <w:p>
            <w:pPr>
              <w:autoSpaceDN w:val="0"/>
              <w:spacing w:line="400" w:lineRule="exact"/>
              <w:ind w:left="-73" w:leftChars="-35" w:right="-73" w:rightChars="-35"/>
              <w:jc w:val="center"/>
              <w:rPr>
                <w:rFonts w:ascii="Times New Roman" w:hAnsi="Times New Roman" w:cs="Times New Roman" w:eastAsiaTheme="majorEastAsia"/>
                <w:sz w:val="20"/>
                <w:szCs w:val="20"/>
              </w:rPr>
            </w:pPr>
            <w:r>
              <w:rPr>
                <w:rFonts w:ascii="Times New Roman" w:hAnsi="Times New Roman" w:cs="Times New Roman" w:eastAsiaTheme="majorEastAsia"/>
                <w:kern w:val="0"/>
                <w:sz w:val="20"/>
                <w:szCs w:val="20"/>
              </w:rPr>
              <w:t>收费标准</w:t>
            </w:r>
          </w:p>
        </w:tc>
        <w:tc>
          <w:tcPr>
            <w:tcW w:w="2017" w:type="pc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Times New Roman" w:hAnsi="Times New Roman" w:cs="Times New Roman" w:eastAsiaTheme="majorEastAsia"/>
                <w:sz w:val="20"/>
                <w:szCs w:val="20"/>
              </w:rPr>
            </w:pPr>
            <w:r>
              <w:rPr>
                <w:rFonts w:hint="eastAsia" w:ascii="Times New Roman" w:hAnsi="Times New Roman" w:cs="Times New Roman" w:eastAsiaTheme="majorEastAsia"/>
                <w:kern w:val="0"/>
                <w:sz w:val="20"/>
                <w:szCs w:val="20"/>
                <w:lang w:val="en-US" w:eastAsia="zh-CN"/>
              </w:rPr>
              <w:t>30</w:t>
            </w:r>
            <w:r>
              <w:rPr>
                <w:rFonts w:ascii="Times New Roman" w:hAnsi="Times New Roman" w:cs="Times New Roman" w:eastAsiaTheme="majorEastAsia"/>
                <w:kern w:val="0"/>
                <w:sz w:val="20"/>
                <w:szCs w:val="20"/>
              </w:rPr>
              <w:t>分钟（含）以内免费，</w:t>
            </w:r>
            <w:r>
              <w:rPr>
                <w:rFonts w:hint="eastAsia" w:ascii="Times New Roman" w:hAnsi="Times New Roman" w:cs="Times New Roman" w:eastAsiaTheme="majorEastAsia"/>
                <w:kern w:val="0"/>
                <w:sz w:val="20"/>
                <w:szCs w:val="20"/>
                <w:lang w:val="en-US" w:eastAsia="zh-CN"/>
              </w:rPr>
              <w:t>31</w:t>
            </w:r>
            <w:r>
              <w:rPr>
                <w:rFonts w:ascii="Times New Roman" w:hAnsi="Times New Roman" w:cs="Times New Roman" w:eastAsiaTheme="majorEastAsia"/>
                <w:kern w:val="0"/>
                <w:sz w:val="20"/>
                <w:szCs w:val="20"/>
              </w:rPr>
              <w:t>分钟至1小时内5元/辆，超出1小时后按每小时2元/辆收取，每日（24小时）最高收费30元/辆，超过1日后，按每半日（12小时）15元/辆收取。</w:t>
            </w:r>
          </w:p>
        </w:tc>
        <w:tc>
          <w:tcPr>
            <w:tcW w:w="2002" w:type="pc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Times New Roman" w:hAnsi="Times New Roman" w:cs="Times New Roman" w:eastAsiaTheme="majorEastAsia"/>
                <w:sz w:val="20"/>
                <w:szCs w:val="20"/>
              </w:rPr>
            </w:pPr>
            <w:r>
              <w:rPr>
                <w:rFonts w:hint="eastAsia" w:ascii="Times New Roman" w:hAnsi="Times New Roman" w:cs="Times New Roman" w:eastAsiaTheme="majorEastAsia"/>
                <w:kern w:val="0"/>
                <w:sz w:val="20"/>
                <w:szCs w:val="20"/>
                <w:lang w:val="en-US" w:eastAsia="zh-CN"/>
              </w:rPr>
              <w:t>30</w:t>
            </w:r>
            <w:r>
              <w:rPr>
                <w:rFonts w:ascii="Times New Roman" w:hAnsi="Times New Roman" w:cs="Times New Roman" w:eastAsiaTheme="majorEastAsia"/>
                <w:kern w:val="0"/>
                <w:sz w:val="20"/>
                <w:szCs w:val="20"/>
              </w:rPr>
              <w:t>分钟（含）以内免费，</w:t>
            </w:r>
            <w:r>
              <w:rPr>
                <w:rFonts w:hint="eastAsia" w:ascii="Times New Roman" w:hAnsi="Times New Roman" w:cs="Times New Roman" w:eastAsiaTheme="majorEastAsia"/>
                <w:kern w:val="0"/>
                <w:sz w:val="20"/>
                <w:szCs w:val="20"/>
                <w:lang w:val="en-US" w:eastAsia="zh-CN"/>
              </w:rPr>
              <w:t>31</w:t>
            </w:r>
            <w:r>
              <w:rPr>
                <w:rFonts w:ascii="Times New Roman" w:hAnsi="Times New Roman" w:cs="Times New Roman" w:eastAsiaTheme="majorEastAsia"/>
                <w:kern w:val="0"/>
                <w:sz w:val="20"/>
                <w:szCs w:val="20"/>
              </w:rPr>
              <w:t>分钟至1小时内8元/辆，超出1小时后按每小时4元/辆收取，每日（24小时）最高收费40元/辆，超过1日后，按每半日（12小时）20元/辆收取。</w:t>
            </w:r>
          </w:p>
        </w:tc>
      </w:tr>
    </w:tbl>
    <w:p>
      <w:pPr>
        <w:widowControl/>
        <w:jc w:val="left"/>
        <w:rPr>
          <w:rFonts w:ascii="Times New Roman" w:hAnsi="Times New Roman" w:eastAsia="仿宋_GB2312" w:cs="Times New Roman"/>
          <w:szCs w:val="21"/>
        </w:rPr>
      </w:pPr>
      <w:r>
        <w:rPr>
          <w:rFonts w:ascii="Times New Roman" w:hAnsi="Times New Roman" w:eastAsia="仿宋_GB2312" w:cs="Times New Roman"/>
          <w:szCs w:val="21"/>
        </w:rPr>
        <w:br w:type="page"/>
      </w:r>
    </w:p>
    <w:p>
      <w:pPr>
        <w:spacing w:line="320" w:lineRule="exact"/>
        <w:rPr>
          <w:rFonts w:ascii="Times New Roman" w:hAnsi="Times New Roman" w:eastAsia="黑体" w:cs="Times New Roman"/>
          <w:sz w:val="24"/>
        </w:rPr>
      </w:pPr>
      <w:r>
        <w:rPr>
          <w:rFonts w:ascii="Times New Roman" w:hAnsi="Times New Roman" w:eastAsia="黑体" w:cs="Times New Roman"/>
          <w:sz w:val="24"/>
        </w:rPr>
        <w:t>五、教育收费</w:t>
      </w:r>
    </w:p>
    <w:p>
      <w:pPr>
        <w:spacing w:line="120" w:lineRule="exact"/>
        <w:rPr>
          <w:rFonts w:ascii="Times New Roman" w:hAnsi="Times New Roman" w:eastAsia="黑体" w:cs="Times New Roman"/>
          <w:sz w:val="24"/>
        </w:rPr>
      </w:pPr>
    </w:p>
    <w:p>
      <w:pPr>
        <w:spacing w:line="320" w:lineRule="exact"/>
        <w:rPr>
          <w:rFonts w:ascii="Times New Roman" w:hAnsi="Times New Roman" w:eastAsia="楷体_GB2312" w:cs="Times New Roman"/>
          <w:sz w:val="24"/>
        </w:rPr>
      </w:pPr>
      <w:r>
        <w:rPr>
          <w:rFonts w:ascii="Times New Roman" w:hAnsi="Times New Roman" w:eastAsia="楷体_GB2312" w:cs="Times New Roman"/>
          <w:sz w:val="24"/>
        </w:rPr>
        <w:t>1.学前教育</w:t>
      </w:r>
    </w:p>
    <w:p>
      <w:pPr>
        <w:spacing w:line="120" w:lineRule="exact"/>
        <w:jc w:val="left"/>
        <w:rPr>
          <w:rFonts w:ascii="Times New Roman" w:hAnsi="Times New Roman" w:eastAsia="楷体_GB2312" w:cs="Times New Roman"/>
          <w:sz w:val="24"/>
        </w:rPr>
      </w:pPr>
    </w:p>
    <w:p>
      <w:pPr>
        <w:spacing w:line="320" w:lineRule="exact"/>
        <w:jc w:val="center"/>
        <w:rPr>
          <w:rFonts w:cs="Times New Roman" w:asciiTheme="minorEastAsia" w:hAnsiTheme="minorEastAsia" w:eastAsiaTheme="minorEastAsia"/>
          <w:sz w:val="24"/>
        </w:rPr>
      </w:pPr>
      <w:r>
        <w:rPr>
          <w:rFonts w:cs="Times New Roman" w:asciiTheme="minorEastAsia" w:hAnsiTheme="minorEastAsia" w:eastAsiaTheme="minorEastAsia"/>
          <w:sz w:val="24"/>
        </w:rPr>
        <w:t>市属及以上公办幼儿园全日制保教费</w:t>
      </w:r>
    </w:p>
    <w:p>
      <w:pPr>
        <w:spacing w:line="320" w:lineRule="exact"/>
        <w:jc w:val="center"/>
        <w:rPr>
          <w:rFonts w:cs="Times New Roman" w:asciiTheme="minorEastAsia" w:hAnsiTheme="minorEastAsia" w:eastAsiaTheme="minorEastAsia"/>
          <w:sz w:val="24"/>
        </w:rPr>
      </w:pPr>
      <w:r>
        <w:rPr>
          <w:rFonts w:cs="Times New Roman" w:asciiTheme="minorEastAsia" w:hAnsiTheme="minorEastAsia" w:eastAsiaTheme="minorEastAsia"/>
          <w:sz w:val="24"/>
        </w:rPr>
        <w:t>收</w:t>
      </w:r>
      <w:r>
        <w:rPr>
          <w:rFonts w:hint="eastAsia" w:cs="Times New Roman" w:asciiTheme="minorEastAsia" w:hAnsiTheme="minorEastAsia" w:eastAsiaTheme="minorEastAsia"/>
          <w:sz w:val="24"/>
        </w:rPr>
        <w:t xml:space="preserve"> </w:t>
      </w:r>
      <w:r>
        <w:rPr>
          <w:rFonts w:cs="Times New Roman" w:asciiTheme="minorEastAsia" w:hAnsiTheme="minorEastAsia" w:eastAsiaTheme="minorEastAsia"/>
          <w:sz w:val="24"/>
        </w:rPr>
        <w:t>费</w:t>
      </w:r>
      <w:r>
        <w:rPr>
          <w:rFonts w:hint="eastAsia" w:cs="Times New Roman" w:asciiTheme="minorEastAsia" w:hAnsiTheme="minorEastAsia" w:eastAsiaTheme="minorEastAsia"/>
          <w:sz w:val="24"/>
        </w:rPr>
        <w:t xml:space="preserve"> </w:t>
      </w:r>
      <w:r>
        <w:rPr>
          <w:rFonts w:cs="Times New Roman" w:asciiTheme="minorEastAsia" w:hAnsiTheme="minorEastAsia" w:eastAsiaTheme="minorEastAsia"/>
          <w:sz w:val="24"/>
        </w:rPr>
        <w:t>标</w:t>
      </w:r>
      <w:r>
        <w:rPr>
          <w:rFonts w:hint="eastAsia" w:cs="Times New Roman" w:asciiTheme="minorEastAsia" w:hAnsiTheme="minorEastAsia" w:eastAsiaTheme="minorEastAsia"/>
          <w:sz w:val="24"/>
        </w:rPr>
        <w:t xml:space="preserve"> </w:t>
      </w:r>
      <w:r>
        <w:rPr>
          <w:rFonts w:cs="Times New Roman" w:asciiTheme="minorEastAsia" w:hAnsiTheme="minorEastAsia" w:eastAsiaTheme="minorEastAsia"/>
          <w:sz w:val="24"/>
        </w:rPr>
        <w:t>准</w:t>
      </w:r>
      <w:r>
        <w:rPr>
          <w:rFonts w:hint="eastAsia" w:cs="Times New Roman" w:asciiTheme="minorEastAsia" w:hAnsiTheme="minorEastAsia" w:eastAsiaTheme="minorEastAsia"/>
          <w:sz w:val="24"/>
        </w:rPr>
        <w:t xml:space="preserve"> </w:t>
      </w:r>
      <w:r>
        <w:rPr>
          <w:rFonts w:cs="Times New Roman" w:asciiTheme="minorEastAsia" w:hAnsiTheme="minorEastAsia" w:eastAsiaTheme="minorEastAsia"/>
          <w:sz w:val="24"/>
        </w:rPr>
        <w:t>表</w:t>
      </w:r>
    </w:p>
    <w:p>
      <w:pPr>
        <w:spacing w:line="300" w:lineRule="exact"/>
        <w:jc w:val="right"/>
        <w:rPr>
          <w:rFonts w:ascii="Times New Roman" w:hAnsi="Times New Roman" w:eastAsia="楷体_GB2312" w:cs="Times New Roman"/>
          <w:szCs w:val="21"/>
        </w:rPr>
      </w:pPr>
      <w:r>
        <w:rPr>
          <w:rFonts w:ascii="Times New Roman" w:hAnsi="Times New Roman" w:eastAsia="楷体_GB2312" w:cs="Times New Roman"/>
          <w:szCs w:val="21"/>
        </w:rPr>
        <w:t>（单位：元/生.月）</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9"/>
        <w:gridCol w:w="1651"/>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886" w:type="pct"/>
            <w:vMerge w:val="restart"/>
            <w:tcBorders>
              <w:tl2br w:val="single" w:color="auto" w:sz="4" w:space="0"/>
            </w:tcBorders>
            <w:shd w:val="clear" w:color="auto" w:fill="auto"/>
          </w:tcPr>
          <w:p>
            <w:pPr>
              <w:widowControl/>
              <w:spacing w:line="60" w:lineRule="exact"/>
              <w:ind w:firstLine="1200" w:firstLineChars="600"/>
              <w:jc w:val="center"/>
              <w:rPr>
                <w:rFonts w:ascii="Times New Roman" w:hAnsi="Times New Roman" w:eastAsia="黑体" w:cs="Times New Roman"/>
                <w:kern w:val="0"/>
                <w:sz w:val="20"/>
                <w:szCs w:val="20"/>
              </w:rPr>
            </w:pPr>
          </w:p>
          <w:p>
            <w:pPr>
              <w:widowControl/>
              <w:spacing w:line="220" w:lineRule="exact"/>
              <w:ind w:firstLine="1100" w:firstLineChars="550"/>
              <w:rPr>
                <w:rFonts w:ascii="Times New Roman" w:hAnsi="Times New Roman" w:eastAsia="黑体" w:cs="Times New Roman"/>
                <w:kern w:val="0"/>
                <w:sz w:val="20"/>
                <w:szCs w:val="20"/>
              </w:rPr>
            </w:pPr>
            <w:r>
              <w:rPr>
                <w:rFonts w:ascii="Times New Roman" w:hAnsi="Times New Roman" w:eastAsia="黑体" w:cs="Times New Roman"/>
                <w:kern w:val="0"/>
                <w:sz w:val="20"/>
                <w:szCs w:val="20"/>
              </w:rPr>
              <w:t>经费</w:t>
            </w:r>
          </w:p>
          <w:p>
            <w:pPr>
              <w:widowControl/>
              <w:spacing w:line="220" w:lineRule="exact"/>
              <w:ind w:firstLine="920" w:firstLineChars="500"/>
              <w:jc w:val="center"/>
              <w:rPr>
                <w:rFonts w:ascii="Times New Roman" w:hAnsi="Times New Roman" w:eastAsia="黑体" w:cs="Times New Roman"/>
                <w:spacing w:val="-8"/>
                <w:sz w:val="20"/>
                <w:szCs w:val="20"/>
              </w:rPr>
            </w:pPr>
            <w:r>
              <w:rPr>
                <w:rFonts w:ascii="Times New Roman" w:hAnsi="Times New Roman" w:eastAsia="黑体" w:cs="Times New Roman"/>
                <w:spacing w:val="-8"/>
                <w:kern w:val="0"/>
                <w:sz w:val="20"/>
                <w:szCs w:val="20"/>
              </w:rPr>
              <w:t>来源</w:t>
            </w:r>
            <w:r>
              <w:rPr>
                <w:rFonts w:ascii="Times New Roman" w:hAnsi="Times New Roman" w:eastAsia="黑体" w:cs="Times New Roman"/>
                <w:spacing w:val="-8"/>
                <w:sz w:val="20"/>
                <w:szCs w:val="20"/>
              </w:rPr>
              <w:t>评定</w:t>
            </w:r>
          </w:p>
          <w:p>
            <w:pPr>
              <w:widowControl/>
              <w:spacing w:line="60" w:lineRule="exact"/>
              <w:ind w:firstLine="920" w:firstLineChars="500"/>
              <w:jc w:val="center"/>
              <w:rPr>
                <w:rFonts w:ascii="Times New Roman" w:hAnsi="Times New Roman" w:eastAsia="黑体" w:cs="Times New Roman"/>
                <w:spacing w:val="-8"/>
                <w:kern w:val="0"/>
                <w:sz w:val="20"/>
                <w:szCs w:val="20"/>
              </w:rPr>
            </w:pPr>
          </w:p>
          <w:p>
            <w:pPr>
              <w:spacing w:line="240" w:lineRule="exact"/>
              <w:ind w:firstLine="300" w:firstLineChars="150"/>
              <w:rPr>
                <w:rFonts w:ascii="Times New Roman" w:hAnsi="Times New Roman" w:eastAsia="黑体" w:cs="Times New Roman"/>
                <w:sz w:val="20"/>
                <w:szCs w:val="20"/>
              </w:rPr>
            </w:pPr>
            <w:r>
              <w:rPr>
                <w:rFonts w:ascii="Times New Roman" w:hAnsi="Times New Roman" w:eastAsia="黑体" w:cs="Times New Roman"/>
                <w:sz w:val="20"/>
                <w:szCs w:val="20"/>
              </w:rPr>
              <w:t>等  级</w:t>
            </w:r>
          </w:p>
        </w:tc>
        <w:tc>
          <w:tcPr>
            <w:tcW w:w="3114" w:type="pct"/>
            <w:gridSpan w:val="2"/>
            <w:shd w:val="clear" w:color="auto" w:fill="auto"/>
            <w:vAlign w:val="center"/>
          </w:tcPr>
          <w:p>
            <w:pPr>
              <w:spacing w:line="24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公办幼儿园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886" w:type="pct"/>
            <w:vMerge w:val="continue"/>
            <w:tcBorders>
              <w:tl2br w:val="single" w:color="auto" w:sz="4" w:space="0"/>
            </w:tcBorders>
            <w:shd w:val="clear" w:color="auto" w:fill="auto"/>
            <w:vAlign w:val="center"/>
          </w:tcPr>
          <w:p>
            <w:pPr>
              <w:widowControl/>
              <w:spacing w:line="240" w:lineRule="exact"/>
              <w:ind w:firstLine="100" w:firstLineChars="50"/>
              <w:jc w:val="center"/>
              <w:rPr>
                <w:rFonts w:ascii="Times New Roman" w:hAnsi="Times New Roman" w:eastAsia="黑体" w:cs="Times New Roman"/>
                <w:kern w:val="0"/>
                <w:sz w:val="20"/>
                <w:szCs w:val="20"/>
              </w:rPr>
            </w:pPr>
          </w:p>
        </w:tc>
        <w:tc>
          <w:tcPr>
            <w:tcW w:w="1639" w:type="pct"/>
            <w:shd w:val="clear" w:color="auto" w:fill="auto"/>
            <w:vAlign w:val="center"/>
          </w:tcPr>
          <w:p>
            <w:pPr>
              <w:spacing w:line="240" w:lineRule="exact"/>
              <w:ind w:firstLine="100" w:firstLineChars="50"/>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财政拨款</w:t>
            </w:r>
          </w:p>
        </w:tc>
        <w:tc>
          <w:tcPr>
            <w:tcW w:w="1474" w:type="pct"/>
            <w:shd w:val="clear" w:color="auto" w:fill="auto"/>
            <w:vAlign w:val="center"/>
          </w:tcPr>
          <w:p>
            <w:pPr>
              <w:spacing w:line="240" w:lineRule="exact"/>
              <w:ind w:firstLine="200" w:firstLineChars="100"/>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财政补贴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886" w:type="pct"/>
            <w:shd w:val="clear" w:color="auto" w:fill="auto"/>
            <w:vAlign w:val="center"/>
          </w:tcPr>
          <w:p>
            <w:pPr>
              <w:widowControl/>
              <w:spacing w:line="24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省、市示范类</w:t>
            </w:r>
          </w:p>
        </w:tc>
        <w:tc>
          <w:tcPr>
            <w:tcW w:w="1639" w:type="pct"/>
            <w:shd w:val="clear" w:color="auto" w:fill="auto"/>
            <w:vAlign w:val="center"/>
          </w:tcPr>
          <w:p>
            <w:pPr>
              <w:widowControl/>
              <w:spacing w:line="24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550</w:t>
            </w:r>
          </w:p>
        </w:tc>
        <w:tc>
          <w:tcPr>
            <w:tcW w:w="1474" w:type="pct"/>
            <w:shd w:val="clear" w:color="auto" w:fill="auto"/>
            <w:vAlign w:val="center"/>
          </w:tcPr>
          <w:p>
            <w:pPr>
              <w:widowControl/>
              <w:spacing w:line="24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86" w:type="pct"/>
            <w:shd w:val="clear" w:color="auto" w:fill="auto"/>
            <w:vAlign w:val="center"/>
          </w:tcPr>
          <w:p>
            <w:pPr>
              <w:widowControl/>
              <w:spacing w:line="24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非示范类</w:t>
            </w:r>
          </w:p>
        </w:tc>
        <w:tc>
          <w:tcPr>
            <w:tcW w:w="1639" w:type="pct"/>
            <w:shd w:val="clear" w:color="auto" w:fill="auto"/>
            <w:vAlign w:val="center"/>
          </w:tcPr>
          <w:p>
            <w:pPr>
              <w:widowControl/>
              <w:spacing w:line="24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380</w:t>
            </w:r>
          </w:p>
        </w:tc>
        <w:tc>
          <w:tcPr>
            <w:tcW w:w="1474" w:type="pct"/>
            <w:shd w:val="clear" w:color="auto" w:fill="auto"/>
            <w:vAlign w:val="center"/>
          </w:tcPr>
          <w:p>
            <w:pPr>
              <w:widowControl/>
              <w:spacing w:line="24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86" w:type="pct"/>
            <w:shd w:val="clear" w:color="auto" w:fill="auto"/>
            <w:vAlign w:val="center"/>
          </w:tcPr>
          <w:p>
            <w:pPr>
              <w:widowControl/>
              <w:spacing w:line="240" w:lineRule="exact"/>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备注</w:t>
            </w:r>
          </w:p>
        </w:tc>
        <w:tc>
          <w:tcPr>
            <w:tcW w:w="3114" w:type="pct"/>
            <w:gridSpan w:val="2"/>
            <w:shd w:val="clear" w:color="auto" w:fill="auto"/>
            <w:vAlign w:val="center"/>
          </w:tcPr>
          <w:p>
            <w:pPr>
              <w:spacing w:line="240" w:lineRule="exact"/>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省、市级十佳幼儿园可在以上保教费标准基础上适当上浮，省级上浮幅度不得超过15%，市级上浮幅度不得超过10%。</w:t>
            </w:r>
          </w:p>
        </w:tc>
      </w:tr>
    </w:tbl>
    <w:p>
      <w:pPr>
        <w:spacing w:line="320" w:lineRule="exact"/>
        <w:rPr>
          <w:rFonts w:ascii="Times New Roman" w:hAnsi="Times New Roman" w:eastAsia="楷体_GB2312" w:cs="Times New Roman"/>
          <w:sz w:val="24"/>
        </w:rPr>
      </w:pPr>
      <w:r>
        <w:rPr>
          <w:rFonts w:ascii="Times New Roman" w:hAnsi="Times New Roman" w:eastAsia="楷体_GB2312" w:cs="Times New Roman"/>
          <w:sz w:val="24"/>
        </w:rPr>
        <w:t>2.公办高中收费</w:t>
      </w:r>
    </w:p>
    <w:p>
      <w:pPr>
        <w:spacing w:line="320" w:lineRule="exact"/>
        <w:jc w:val="center"/>
        <w:rPr>
          <w:rFonts w:cs="Times New Roman" w:asciiTheme="minorEastAsia" w:hAnsiTheme="minorEastAsia" w:eastAsiaTheme="minorEastAsia"/>
          <w:sz w:val="24"/>
        </w:rPr>
      </w:pPr>
      <w:r>
        <w:rPr>
          <w:rFonts w:cs="Times New Roman" w:asciiTheme="minorEastAsia" w:hAnsiTheme="minorEastAsia" w:eastAsiaTheme="minorEastAsia"/>
          <w:sz w:val="24"/>
        </w:rPr>
        <w:t>公办普通高中学费标准</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686"/>
        <w:gridCol w:w="2058"/>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63" w:type="pct"/>
            <w:vAlign w:val="center"/>
          </w:tcPr>
          <w:p>
            <w:pPr>
              <w:jc w:val="center"/>
              <w:rPr>
                <w:rFonts w:ascii="Times New Roman" w:hAnsi="Times New Roman" w:eastAsia="黑体" w:cs="Times New Roman"/>
                <w:sz w:val="20"/>
                <w:szCs w:val="20"/>
              </w:rPr>
            </w:pPr>
            <w:r>
              <w:rPr>
                <w:rFonts w:ascii="Times New Roman" w:hAnsi="Times New Roman" w:eastAsia="黑体" w:cs="Times New Roman"/>
                <w:sz w:val="20"/>
                <w:szCs w:val="20"/>
              </w:rPr>
              <w:t>序号</w:t>
            </w:r>
          </w:p>
        </w:tc>
        <w:tc>
          <w:tcPr>
            <w:tcW w:w="2724" w:type="pct"/>
            <w:gridSpan w:val="2"/>
            <w:vAlign w:val="center"/>
          </w:tcPr>
          <w:p>
            <w:pPr>
              <w:jc w:val="center"/>
              <w:rPr>
                <w:rFonts w:ascii="Times New Roman" w:hAnsi="Times New Roman" w:eastAsia="黑体" w:cs="Times New Roman"/>
                <w:sz w:val="20"/>
                <w:szCs w:val="20"/>
              </w:rPr>
            </w:pPr>
            <w:r>
              <w:rPr>
                <w:rFonts w:ascii="Times New Roman" w:hAnsi="Times New Roman" w:eastAsia="黑体" w:cs="Times New Roman"/>
                <w:sz w:val="20"/>
                <w:szCs w:val="20"/>
              </w:rPr>
              <w:t>项目</w:t>
            </w:r>
          </w:p>
        </w:tc>
        <w:tc>
          <w:tcPr>
            <w:tcW w:w="1612" w:type="pct"/>
            <w:vAlign w:val="center"/>
          </w:tcPr>
          <w:p>
            <w:pPr>
              <w:jc w:val="center"/>
              <w:rPr>
                <w:rFonts w:ascii="Times New Roman" w:hAnsi="Times New Roman" w:eastAsia="黑体" w:cs="Times New Roman"/>
                <w:sz w:val="20"/>
                <w:szCs w:val="20"/>
              </w:rPr>
            </w:pPr>
            <w:r>
              <w:rPr>
                <w:rFonts w:ascii="Times New Roman" w:hAnsi="Times New Roman" w:eastAsia="黑体" w:cs="Times New Roman"/>
                <w:sz w:val="20"/>
                <w:szCs w:val="20"/>
              </w:rPr>
              <w:t>学费标准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pct"/>
            <w:vAlign w:val="center"/>
          </w:tcPr>
          <w:p>
            <w:pPr>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681" w:type="pct"/>
            <w:vMerge w:val="restart"/>
            <w:vAlign w:val="center"/>
          </w:tcPr>
          <w:p>
            <w:pPr>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普通</w:t>
            </w:r>
          </w:p>
          <w:p>
            <w:pPr>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高中</w:t>
            </w:r>
          </w:p>
        </w:tc>
        <w:tc>
          <w:tcPr>
            <w:tcW w:w="2043" w:type="pct"/>
            <w:vAlign w:val="center"/>
          </w:tcPr>
          <w:p>
            <w:pPr>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省、市级规范化学校</w:t>
            </w:r>
          </w:p>
        </w:tc>
        <w:tc>
          <w:tcPr>
            <w:tcW w:w="1612" w:type="pct"/>
            <w:vAlign w:val="center"/>
          </w:tcPr>
          <w:p>
            <w:pPr>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pct"/>
            <w:vAlign w:val="center"/>
          </w:tcPr>
          <w:p>
            <w:pPr>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681" w:type="pct"/>
            <w:vMerge w:val="continue"/>
            <w:vAlign w:val="center"/>
          </w:tcPr>
          <w:p>
            <w:pPr>
              <w:rPr>
                <w:rFonts w:ascii="Times New Roman" w:hAnsi="Times New Roman" w:cs="Times New Roman" w:eastAsiaTheme="minorEastAsia"/>
                <w:sz w:val="20"/>
                <w:szCs w:val="20"/>
              </w:rPr>
            </w:pPr>
          </w:p>
        </w:tc>
        <w:tc>
          <w:tcPr>
            <w:tcW w:w="2043" w:type="pct"/>
            <w:vAlign w:val="center"/>
          </w:tcPr>
          <w:p>
            <w:pPr>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其他城市学校</w:t>
            </w:r>
          </w:p>
        </w:tc>
        <w:tc>
          <w:tcPr>
            <w:tcW w:w="1612" w:type="pct"/>
            <w:vAlign w:val="center"/>
          </w:tcPr>
          <w:p>
            <w:pPr>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pct"/>
            <w:vAlign w:val="center"/>
          </w:tcPr>
          <w:p>
            <w:pPr>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681" w:type="pct"/>
            <w:vMerge w:val="continue"/>
            <w:vAlign w:val="center"/>
          </w:tcPr>
          <w:p>
            <w:pPr>
              <w:rPr>
                <w:rFonts w:ascii="Times New Roman" w:hAnsi="Times New Roman" w:cs="Times New Roman" w:eastAsiaTheme="minorEastAsia"/>
                <w:sz w:val="20"/>
                <w:szCs w:val="20"/>
              </w:rPr>
            </w:pPr>
          </w:p>
        </w:tc>
        <w:tc>
          <w:tcPr>
            <w:tcW w:w="2043" w:type="pct"/>
            <w:vAlign w:val="center"/>
          </w:tcPr>
          <w:p>
            <w:pPr>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农村学校</w:t>
            </w:r>
          </w:p>
        </w:tc>
        <w:tc>
          <w:tcPr>
            <w:tcW w:w="1612" w:type="pct"/>
            <w:vAlign w:val="center"/>
          </w:tcPr>
          <w:p>
            <w:pPr>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300</w:t>
            </w:r>
          </w:p>
        </w:tc>
      </w:tr>
    </w:tbl>
    <w:p>
      <w:pPr>
        <w:spacing w:line="320" w:lineRule="exact"/>
        <w:rPr>
          <w:rFonts w:hint="eastAsia" w:ascii="Times New Roman" w:hAnsi="Times New Roman" w:eastAsia="黑体" w:cs="Times New Roman"/>
          <w:sz w:val="24"/>
        </w:rPr>
      </w:pPr>
    </w:p>
    <w:p>
      <w:pPr>
        <w:spacing w:line="320" w:lineRule="exact"/>
        <w:rPr>
          <w:rFonts w:hint="eastAsia" w:ascii="Times New Roman" w:hAnsi="Times New Roman" w:eastAsia="黑体" w:cs="Times New Roman"/>
          <w:sz w:val="24"/>
        </w:rPr>
      </w:pPr>
    </w:p>
    <w:p>
      <w:pPr>
        <w:spacing w:line="320" w:lineRule="exact"/>
        <w:rPr>
          <w:rFonts w:hint="eastAsia" w:ascii="Times New Roman" w:hAnsi="Times New Roman" w:eastAsia="黑体" w:cs="Times New Roman"/>
          <w:sz w:val="24"/>
        </w:rPr>
      </w:pPr>
    </w:p>
    <w:p>
      <w:pPr>
        <w:spacing w:line="320" w:lineRule="exact"/>
        <w:rPr>
          <w:rFonts w:hint="eastAsia" w:ascii="Times New Roman" w:hAnsi="Times New Roman" w:eastAsia="黑体" w:cs="Times New Roman"/>
          <w:sz w:val="24"/>
        </w:rPr>
      </w:pPr>
    </w:p>
    <w:p>
      <w:pPr>
        <w:spacing w:line="320" w:lineRule="exact"/>
        <w:rPr>
          <w:rFonts w:hint="eastAsia" w:ascii="Times New Roman" w:hAnsi="Times New Roman" w:eastAsia="黑体" w:cs="Times New Roman"/>
          <w:sz w:val="24"/>
        </w:rPr>
      </w:pPr>
    </w:p>
    <w:p>
      <w:pPr>
        <w:spacing w:line="320" w:lineRule="exact"/>
        <w:rPr>
          <w:rFonts w:hint="eastAsia" w:ascii="Times New Roman" w:hAnsi="Times New Roman" w:eastAsia="黑体" w:cs="Times New Roman"/>
          <w:sz w:val="24"/>
        </w:rPr>
      </w:pPr>
    </w:p>
    <w:p>
      <w:pPr>
        <w:spacing w:line="320" w:lineRule="exact"/>
        <w:rPr>
          <w:rFonts w:hint="eastAsia" w:ascii="Times New Roman" w:hAnsi="Times New Roman" w:eastAsia="黑体" w:cs="Times New Roman"/>
          <w:sz w:val="24"/>
        </w:rPr>
      </w:pPr>
    </w:p>
    <w:p>
      <w:pPr>
        <w:spacing w:line="320" w:lineRule="exact"/>
        <w:rPr>
          <w:rFonts w:hint="eastAsia" w:ascii="Times New Roman" w:hAnsi="Times New Roman" w:eastAsia="黑体" w:cs="Times New Roman"/>
          <w:sz w:val="24"/>
        </w:rPr>
      </w:pPr>
    </w:p>
    <w:p>
      <w:pPr>
        <w:spacing w:line="320" w:lineRule="exact"/>
        <w:rPr>
          <w:rFonts w:ascii="Times New Roman" w:hAnsi="Times New Roman" w:eastAsia="黑体" w:cs="Times New Roman"/>
          <w:sz w:val="24"/>
        </w:rPr>
      </w:pPr>
      <w:r>
        <w:rPr>
          <w:rFonts w:ascii="Times New Roman" w:hAnsi="Times New Roman" w:eastAsia="黑体" w:cs="Times New Roman"/>
          <w:sz w:val="24"/>
        </w:rPr>
        <w:t>六、</w:t>
      </w:r>
      <w:r>
        <w:rPr>
          <w:rFonts w:hint="eastAsia" w:ascii="Times New Roman" w:hAnsi="Times New Roman" w:eastAsia="黑体" w:cs="Times New Roman"/>
          <w:sz w:val="24"/>
        </w:rPr>
        <w:t>普通住宅前期</w:t>
      </w:r>
      <w:r>
        <w:rPr>
          <w:rFonts w:ascii="Times New Roman" w:hAnsi="Times New Roman" w:eastAsia="黑体" w:cs="Times New Roman"/>
          <w:sz w:val="24"/>
        </w:rPr>
        <w:t>物业服务收费</w:t>
      </w:r>
    </w:p>
    <w:p>
      <w:pPr>
        <w:spacing w:line="160" w:lineRule="exact"/>
        <w:rPr>
          <w:rFonts w:ascii="Times New Roman" w:hAnsi="Times New Roman" w:eastAsia="黑体" w:cs="Times New Roman"/>
          <w:sz w:val="24"/>
        </w:rPr>
      </w:pPr>
    </w:p>
    <w:p>
      <w:pPr>
        <w:spacing w:line="320" w:lineRule="exact"/>
        <w:jc w:val="center"/>
        <w:rPr>
          <w:rFonts w:cs="Times New Roman" w:asciiTheme="minorEastAsia" w:hAnsiTheme="minorEastAsia" w:eastAsiaTheme="minorEastAsia"/>
          <w:sz w:val="24"/>
        </w:rPr>
      </w:pPr>
      <w:r>
        <w:rPr>
          <w:rFonts w:hint="eastAsia" w:cs="Times New Roman" w:asciiTheme="minorEastAsia" w:hAnsiTheme="minorEastAsia" w:eastAsiaTheme="minorEastAsia"/>
          <w:sz w:val="24"/>
        </w:rPr>
        <w:t>1.</w:t>
      </w:r>
      <w:r>
        <w:rPr>
          <w:rFonts w:cs="Times New Roman" w:asciiTheme="minorEastAsia" w:hAnsiTheme="minorEastAsia" w:eastAsiaTheme="minorEastAsia"/>
          <w:sz w:val="24"/>
        </w:rPr>
        <w:t xml:space="preserve"> 泰安市城区普通住宅前期物业服务</w:t>
      </w:r>
    </w:p>
    <w:p>
      <w:pPr>
        <w:spacing w:line="320" w:lineRule="exact"/>
        <w:jc w:val="center"/>
        <w:rPr>
          <w:rFonts w:cs="Times New Roman" w:asciiTheme="minorEastAsia" w:hAnsiTheme="minorEastAsia" w:eastAsiaTheme="minorEastAsia"/>
          <w:sz w:val="24"/>
        </w:rPr>
      </w:pPr>
      <w:r>
        <w:rPr>
          <w:rFonts w:cs="Times New Roman" w:asciiTheme="minorEastAsia" w:hAnsiTheme="minorEastAsia" w:eastAsiaTheme="minorEastAsia"/>
          <w:sz w:val="24"/>
        </w:rPr>
        <w:t>费基准价格一览表</w:t>
      </w:r>
    </w:p>
    <w:p>
      <w:pPr>
        <w:spacing w:after="120" w:afterLines="50"/>
        <w:jc w:val="center"/>
        <w:rPr>
          <w:rFonts w:ascii="Times New Roman" w:hAnsi="Times New Roman" w:eastAsia="黑体" w:cs="Times New Roman"/>
          <w:sz w:val="10"/>
          <w:szCs w:val="10"/>
        </w:rPr>
      </w:pPr>
    </w:p>
    <w:tbl>
      <w:tblPr>
        <w:tblStyle w:val="11"/>
        <w:tblW w:w="4893" w:type="pct"/>
        <w:jc w:val="center"/>
        <w:shd w:val="clear" w:color="auto" w:fill="FFFFFF"/>
        <w:tblLayout w:type="autofit"/>
        <w:tblCellMar>
          <w:top w:w="0" w:type="dxa"/>
          <w:left w:w="108" w:type="dxa"/>
          <w:bottom w:w="0" w:type="dxa"/>
          <w:right w:w="108" w:type="dxa"/>
        </w:tblCellMar>
      </w:tblPr>
      <w:tblGrid>
        <w:gridCol w:w="1065"/>
        <w:gridCol w:w="2043"/>
        <w:gridCol w:w="1820"/>
      </w:tblGrid>
      <w:tr>
        <w:tblPrEx>
          <w:shd w:val="clear" w:color="auto" w:fill="FFFFFF"/>
          <w:tblCellMar>
            <w:top w:w="0" w:type="dxa"/>
            <w:left w:w="108" w:type="dxa"/>
            <w:bottom w:w="0" w:type="dxa"/>
            <w:right w:w="108" w:type="dxa"/>
          </w:tblCellMar>
        </w:tblPrEx>
        <w:trPr>
          <w:trHeight w:val="344" w:hRule="atLeast"/>
          <w:jc w:val="center"/>
        </w:trPr>
        <w:tc>
          <w:tcPr>
            <w:tcW w:w="1081" w:type="pct"/>
            <w:vMerge w:val="restart"/>
            <w:tcBorders>
              <w:top w:val="single" w:color="auto" w:sz="4" w:space="0"/>
              <w:left w:val="single" w:color="auto" w:sz="4" w:space="0"/>
              <w:bottom w:val="nil"/>
              <w:right w:val="single" w:color="000000" w:sz="4" w:space="0"/>
            </w:tcBorders>
            <w:shd w:val="clear" w:color="auto" w:fill="FFFFFF"/>
            <w:vAlign w:val="center"/>
          </w:tcPr>
          <w:p>
            <w:pPr>
              <w:widowControl/>
              <w:spacing w:line="24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服务等级</w:t>
            </w:r>
          </w:p>
        </w:tc>
        <w:tc>
          <w:tcPr>
            <w:tcW w:w="3919" w:type="pct"/>
            <w:gridSpan w:val="2"/>
            <w:tcBorders>
              <w:top w:val="single" w:color="auto" w:sz="4" w:space="0"/>
              <w:left w:val="nil"/>
              <w:bottom w:val="single" w:color="000000" w:sz="4" w:space="0"/>
              <w:right w:val="single" w:color="auto" w:sz="4" w:space="0"/>
            </w:tcBorders>
            <w:shd w:val="clear" w:color="auto" w:fill="FFFFFF"/>
            <w:vAlign w:val="center"/>
          </w:tcPr>
          <w:p>
            <w:pPr>
              <w:widowControl/>
              <w:spacing w:line="24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基准价格</w:t>
            </w:r>
          </w:p>
        </w:tc>
      </w:tr>
      <w:tr>
        <w:tblPrEx>
          <w:tblCellMar>
            <w:top w:w="0" w:type="dxa"/>
            <w:left w:w="108" w:type="dxa"/>
            <w:bottom w:w="0" w:type="dxa"/>
            <w:right w:w="108" w:type="dxa"/>
          </w:tblCellMar>
        </w:tblPrEx>
        <w:trPr>
          <w:trHeight w:val="595" w:hRule="atLeast"/>
          <w:jc w:val="center"/>
        </w:trPr>
        <w:tc>
          <w:tcPr>
            <w:tcW w:w="1081" w:type="pct"/>
            <w:vMerge w:val="continue"/>
            <w:tcBorders>
              <w:top w:val="nil"/>
              <w:left w:val="single" w:color="auto" w:sz="4" w:space="0"/>
              <w:bottom w:val="nil"/>
              <w:right w:val="single" w:color="000000" w:sz="4" w:space="0"/>
            </w:tcBorders>
            <w:shd w:val="clear" w:color="auto" w:fill="FFFFFF"/>
            <w:vAlign w:val="center"/>
          </w:tcPr>
          <w:p>
            <w:pPr>
              <w:widowControl/>
              <w:spacing w:line="240" w:lineRule="exact"/>
              <w:jc w:val="center"/>
              <w:rPr>
                <w:rFonts w:ascii="Times New Roman" w:hAnsi="Times New Roman" w:eastAsia="黑体" w:cs="Times New Roman"/>
                <w:kern w:val="0"/>
                <w:sz w:val="20"/>
                <w:szCs w:val="20"/>
              </w:rPr>
            </w:pPr>
          </w:p>
        </w:tc>
        <w:tc>
          <w:tcPr>
            <w:tcW w:w="2073" w:type="pct"/>
            <w:tcBorders>
              <w:top w:val="nil"/>
              <w:left w:val="nil"/>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不配备电梯</w:t>
            </w:r>
          </w:p>
          <w:p>
            <w:pPr>
              <w:widowControl/>
              <w:spacing w:line="24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（元/平方米</w:t>
            </w:r>
            <w:r>
              <w:rPr>
                <w:rFonts w:ascii="Times New Roman" w:hAnsi="Times New Roman" w:eastAsia="黑体" w:cs="Times New Roman"/>
                <w:sz w:val="20"/>
                <w:szCs w:val="20"/>
              </w:rPr>
              <w:t>·</w:t>
            </w:r>
            <w:r>
              <w:rPr>
                <w:rFonts w:ascii="Times New Roman" w:hAnsi="Times New Roman" w:eastAsia="黑体" w:cs="Times New Roman"/>
                <w:kern w:val="0"/>
                <w:sz w:val="20"/>
                <w:szCs w:val="20"/>
              </w:rPr>
              <w:t>月）</w:t>
            </w:r>
          </w:p>
        </w:tc>
        <w:tc>
          <w:tcPr>
            <w:tcW w:w="1847" w:type="pct"/>
            <w:tcBorders>
              <w:top w:val="nil"/>
              <w:left w:val="nil"/>
              <w:bottom w:val="single" w:color="000000" w:sz="4" w:space="0"/>
              <w:right w:val="single" w:color="auto" w:sz="4" w:space="0"/>
            </w:tcBorders>
            <w:shd w:val="clear" w:color="auto" w:fill="FFFFFF"/>
            <w:vAlign w:val="center"/>
          </w:tcPr>
          <w:p>
            <w:pPr>
              <w:widowControl/>
              <w:spacing w:line="24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配备电梯</w:t>
            </w:r>
          </w:p>
          <w:p>
            <w:pPr>
              <w:widowControl/>
              <w:spacing w:line="24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（元/平方米</w:t>
            </w:r>
            <w:r>
              <w:rPr>
                <w:rFonts w:ascii="Times New Roman" w:hAnsi="Times New Roman" w:eastAsia="黑体" w:cs="Times New Roman"/>
                <w:sz w:val="20"/>
                <w:szCs w:val="20"/>
              </w:rPr>
              <w:t>·</w:t>
            </w:r>
            <w:r>
              <w:rPr>
                <w:rFonts w:ascii="Times New Roman" w:hAnsi="Times New Roman" w:eastAsia="黑体" w:cs="Times New Roman"/>
                <w:kern w:val="0"/>
                <w:sz w:val="20"/>
                <w:szCs w:val="20"/>
              </w:rPr>
              <w:t>月）</w:t>
            </w:r>
          </w:p>
        </w:tc>
      </w:tr>
      <w:tr>
        <w:tblPrEx>
          <w:tblCellMar>
            <w:top w:w="0" w:type="dxa"/>
            <w:left w:w="108" w:type="dxa"/>
            <w:bottom w:w="0" w:type="dxa"/>
            <w:right w:w="108" w:type="dxa"/>
          </w:tblCellMar>
        </w:tblPrEx>
        <w:trPr>
          <w:trHeight w:val="376" w:hRule="atLeast"/>
          <w:jc w:val="center"/>
        </w:trPr>
        <w:tc>
          <w:tcPr>
            <w:tcW w:w="1081"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一星级</w:t>
            </w:r>
          </w:p>
        </w:tc>
        <w:tc>
          <w:tcPr>
            <w:tcW w:w="2073" w:type="pct"/>
            <w:tcBorders>
              <w:top w:val="nil"/>
              <w:left w:val="nil"/>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bCs/>
                <w:kern w:val="0"/>
                <w:sz w:val="20"/>
                <w:szCs w:val="20"/>
              </w:rPr>
              <w:t>0.30</w:t>
            </w:r>
          </w:p>
        </w:tc>
        <w:tc>
          <w:tcPr>
            <w:tcW w:w="1847" w:type="pct"/>
            <w:tcBorders>
              <w:top w:val="nil"/>
              <w:left w:val="nil"/>
              <w:bottom w:val="single" w:color="000000" w:sz="4" w:space="0"/>
              <w:right w:val="single" w:color="auto"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bCs/>
                <w:kern w:val="0"/>
                <w:sz w:val="20"/>
                <w:szCs w:val="20"/>
              </w:rPr>
              <w:t>0.70</w:t>
            </w:r>
          </w:p>
        </w:tc>
      </w:tr>
      <w:tr>
        <w:tblPrEx>
          <w:tblCellMar>
            <w:top w:w="0" w:type="dxa"/>
            <w:left w:w="108" w:type="dxa"/>
            <w:bottom w:w="0" w:type="dxa"/>
            <w:right w:w="108" w:type="dxa"/>
          </w:tblCellMar>
        </w:tblPrEx>
        <w:trPr>
          <w:trHeight w:val="376" w:hRule="atLeast"/>
          <w:jc w:val="center"/>
        </w:trPr>
        <w:tc>
          <w:tcPr>
            <w:tcW w:w="1081" w:type="pct"/>
            <w:tcBorders>
              <w:top w:val="nil"/>
              <w:left w:val="single" w:color="auto" w:sz="4" w:space="0"/>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二星级</w:t>
            </w:r>
          </w:p>
        </w:tc>
        <w:tc>
          <w:tcPr>
            <w:tcW w:w="2073" w:type="pct"/>
            <w:tcBorders>
              <w:top w:val="nil"/>
              <w:left w:val="nil"/>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bCs/>
                <w:kern w:val="0"/>
                <w:sz w:val="20"/>
                <w:szCs w:val="20"/>
              </w:rPr>
              <w:t>0.50</w:t>
            </w:r>
          </w:p>
        </w:tc>
        <w:tc>
          <w:tcPr>
            <w:tcW w:w="1847" w:type="pct"/>
            <w:tcBorders>
              <w:top w:val="nil"/>
              <w:left w:val="nil"/>
              <w:bottom w:val="single" w:color="000000" w:sz="4" w:space="0"/>
              <w:right w:val="single" w:color="auto"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bCs/>
                <w:kern w:val="0"/>
                <w:sz w:val="20"/>
                <w:szCs w:val="20"/>
              </w:rPr>
              <w:t>0.90</w:t>
            </w:r>
          </w:p>
        </w:tc>
      </w:tr>
      <w:tr>
        <w:tblPrEx>
          <w:tblCellMar>
            <w:top w:w="0" w:type="dxa"/>
            <w:left w:w="108" w:type="dxa"/>
            <w:bottom w:w="0" w:type="dxa"/>
            <w:right w:w="108" w:type="dxa"/>
          </w:tblCellMar>
        </w:tblPrEx>
        <w:trPr>
          <w:trHeight w:val="376" w:hRule="atLeast"/>
          <w:jc w:val="center"/>
        </w:trPr>
        <w:tc>
          <w:tcPr>
            <w:tcW w:w="1081" w:type="pct"/>
            <w:tcBorders>
              <w:top w:val="nil"/>
              <w:left w:val="single" w:color="auto" w:sz="4" w:space="0"/>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三星级</w:t>
            </w:r>
          </w:p>
        </w:tc>
        <w:tc>
          <w:tcPr>
            <w:tcW w:w="2073" w:type="pct"/>
            <w:tcBorders>
              <w:top w:val="nil"/>
              <w:left w:val="nil"/>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bCs/>
                <w:kern w:val="0"/>
                <w:sz w:val="20"/>
                <w:szCs w:val="20"/>
              </w:rPr>
              <w:t>0.70</w:t>
            </w:r>
          </w:p>
        </w:tc>
        <w:tc>
          <w:tcPr>
            <w:tcW w:w="1847" w:type="pct"/>
            <w:tcBorders>
              <w:top w:val="nil"/>
              <w:left w:val="nil"/>
              <w:bottom w:val="single" w:color="000000" w:sz="4" w:space="0"/>
              <w:right w:val="single" w:color="auto"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bCs/>
                <w:kern w:val="0"/>
                <w:sz w:val="20"/>
                <w:szCs w:val="20"/>
              </w:rPr>
              <w:t>1.10</w:t>
            </w:r>
          </w:p>
        </w:tc>
      </w:tr>
      <w:tr>
        <w:tblPrEx>
          <w:tblCellMar>
            <w:top w:w="0" w:type="dxa"/>
            <w:left w:w="108" w:type="dxa"/>
            <w:bottom w:w="0" w:type="dxa"/>
            <w:right w:w="108" w:type="dxa"/>
          </w:tblCellMar>
        </w:tblPrEx>
        <w:trPr>
          <w:trHeight w:val="376" w:hRule="atLeast"/>
          <w:jc w:val="center"/>
        </w:trPr>
        <w:tc>
          <w:tcPr>
            <w:tcW w:w="1081" w:type="pct"/>
            <w:tcBorders>
              <w:top w:val="nil"/>
              <w:left w:val="single" w:color="auto" w:sz="4" w:space="0"/>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四星级</w:t>
            </w:r>
          </w:p>
        </w:tc>
        <w:tc>
          <w:tcPr>
            <w:tcW w:w="2073" w:type="pct"/>
            <w:tcBorders>
              <w:top w:val="nil"/>
              <w:left w:val="nil"/>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bCs/>
                <w:kern w:val="0"/>
                <w:sz w:val="20"/>
                <w:szCs w:val="20"/>
              </w:rPr>
              <w:t>1.10</w:t>
            </w:r>
          </w:p>
        </w:tc>
        <w:tc>
          <w:tcPr>
            <w:tcW w:w="1847" w:type="pct"/>
            <w:tcBorders>
              <w:top w:val="nil"/>
              <w:left w:val="nil"/>
              <w:bottom w:val="single" w:color="000000" w:sz="4" w:space="0"/>
              <w:right w:val="single" w:color="auto"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bCs/>
                <w:kern w:val="0"/>
                <w:sz w:val="20"/>
                <w:szCs w:val="20"/>
              </w:rPr>
              <w:t>1.50</w:t>
            </w:r>
          </w:p>
        </w:tc>
      </w:tr>
      <w:tr>
        <w:tblPrEx>
          <w:tblCellMar>
            <w:top w:w="0" w:type="dxa"/>
            <w:left w:w="108" w:type="dxa"/>
            <w:bottom w:w="0" w:type="dxa"/>
            <w:right w:w="108" w:type="dxa"/>
          </w:tblCellMar>
        </w:tblPrEx>
        <w:trPr>
          <w:trHeight w:val="376" w:hRule="atLeast"/>
          <w:jc w:val="center"/>
        </w:trPr>
        <w:tc>
          <w:tcPr>
            <w:tcW w:w="1081" w:type="pct"/>
            <w:tcBorders>
              <w:top w:val="nil"/>
              <w:left w:val="single" w:color="auto" w:sz="4" w:space="0"/>
              <w:bottom w:val="single" w:color="auto" w:sz="4" w:space="0"/>
              <w:right w:val="single" w:color="000000"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五星级</w:t>
            </w:r>
          </w:p>
        </w:tc>
        <w:tc>
          <w:tcPr>
            <w:tcW w:w="2073" w:type="pct"/>
            <w:tcBorders>
              <w:top w:val="nil"/>
              <w:left w:val="nil"/>
              <w:bottom w:val="single" w:color="auto" w:sz="4" w:space="0"/>
              <w:right w:val="single" w:color="000000"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bCs/>
                <w:kern w:val="0"/>
                <w:sz w:val="20"/>
                <w:szCs w:val="20"/>
              </w:rPr>
              <w:t>1.50</w:t>
            </w:r>
          </w:p>
        </w:tc>
        <w:tc>
          <w:tcPr>
            <w:tcW w:w="1847" w:type="pct"/>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cs="Times New Roman" w:eastAsiaTheme="majorEastAsia"/>
                <w:kern w:val="0"/>
                <w:sz w:val="20"/>
                <w:szCs w:val="20"/>
              </w:rPr>
            </w:pPr>
            <w:r>
              <w:rPr>
                <w:rFonts w:ascii="Times New Roman" w:hAnsi="Times New Roman" w:cs="Times New Roman" w:eastAsiaTheme="majorEastAsia"/>
                <w:bCs/>
                <w:kern w:val="0"/>
                <w:sz w:val="20"/>
                <w:szCs w:val="20"/>
              </w:rPr>
              <w:t>1.90</w:t>
            </w:r>
          </w:p>
        </w:tc>
      </w:tr>
    </w:tbl>
    <w:p>
      <w:pPr>
        <w:spacing w:line="320" w:lineRule="exact"/>
        <w:ind w:left="810" w:hanging="810" w:hangingChars="450"/>
        <w:rPr>
          <w:rFonts w:ascii="Times New Roman" w:hAnsi="Times New Roman" w:eastAsia="仿宋_GB2312" w:cs="Times New Roman"/>
          <w:sz w:val="18"/>
          <w:szCs w:val="18"/>
        </w:rPr>
      </w:pPr>
      <w:r>
        <w:rPr>
          <w:rFonts w:ascii="Times New Roman" w:hAnsi="Times New Roman" w:eastAsia="仿宋_GB2312" w:cs="Times New Roman"/>
          <w:sz w:val="18"/>
          <w:szCs w:val="18"/>
        </w:rPr>
        <w:t>备注：</w:t>
      </w:r>
      <w:r>
        <w:rPr>
          <w:rFonts w:hint="eastAsia" w:ascii="Times New Roman" w:hAnsi="Times New Roman" w:eastAsia="仿宋_GB2312" w:cs="Times New Roman"/>
          <w:sz w:val="18"/>
          <w:szCs w:val="18"/>
        </w:rPr>
        <w:t xml:space="preserve"> </w:t>
      </w:r>
    </w:p>
    <w:p>
      <w:pPr>
        <w:spacing w:line="320" w:lineRule="exact"/>
        <w:ind w:firstLine="360" w:firstLineChars="200"/>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w:t>
      </w:r>
      <w:r>
        <w:rPr>
          <w:rFonts w:ascii="Times New Roman" w:hAnsi="Times New Roman" w:eastAsia="仿宋_GB2312" w:cs="Times New Roman"/>
          <w:sz w:val="18"/>
          <w:szCs w:val="18"/>
        </w:rPr>
        <w:t>配备电梯普通住宅物业服务费基准价格中已包含电梯运行电费、日常维护保养、相关检测等运行费用，物业服务企业不得再向业主和物业使用人收取电梯管理费、电梯卡工本费、电梯卡押金等其他任何费用。</w:t>
      </w:r>
    </w:p>
    <w:p>
      <w:pPr>
        <w:spacing w:line="320" w:lineRule="exact"/>
        <w:ind w:firstLine="360" w:firstLineChars="200"/>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 xml:space="preserve"> 2.以上标准为前期物业服务招标服务企业时的指导价格，可上浮20%，下浮不限。</w:t>
      </w:r>
    </w:p>
    <w:p>
      <w:pPr>
        <w:spacing w:line="320" w:lineRule="exact"/>
        <w:ind w:left="810" w:hanging="810" w:hangingChars="450"/>
        <w:rPr>
          <w:rFonts w:ascii="Times New Roman" w:hAnsi="Times New Roman" w:eastAsia="仿宋_GB2312" w:cs="Times New Roman"/>
          <w:sz w:val="18"/>
          <w:szCs w:val="18"/>
        </w:rPr>
        <w:sectPr>
          <w:headerReference r:id="rId3" w:type="default"/>
          <w:footerReference r:id="rId4" w:type="default"/>
          <w:footerReference r:id="rId5" w:type="even"/>
          <w:pgSz w:w="5954" w:h="10490"/>
          <w:pgMar w:top="680" w:right="567" w:bottom="680" w:left="567" w:header="397" w:footer="454" w:gutter="0"/>
          <w:pgNumType w:start="1"/>
          <w:cols w:space="425" w:num="1"/>
          <w:docGrid w:linePitch="312" w:charSpace="0"/>
        </w:sectPr>
      </w:pPr>
      <w:r>
        <w:rPr>
          <w:rFonts w:hint="eastAsia" w:ascii="Times New Roman" w:hAnsi="Times New Roman" w:eastAsia="仿宋_GB2312" w:cs="Times New Roman"/>
          <w:sz w:val="18"/>
          <w:szCs w:val="18"/>
        </w:rPr>
        <w:t xml:space="preserve">             </w:t>
      </w:r>
    </w:p>
    <w:p>
      <w:pPr>
        <w:spacing w:line="320" w:lineRule="exact"/>
        <w:jc w:val="center"/>
        <w:rPr>
          <w:rFonts w:cs="Times New Roman" w:asciiTheme="majorEastAsia" w:hAnsiTheme="majorEastAsia" w:eastAsiaTheme="majorEastAsia"/>
          <w:sz w:val="24"/>
        </w:rPr>
      </w:pPr>
      <w:r>
        <w:rPr>
          <w:rFonts w:hint="eastAsia" w:cs="Times New Roman" w:asciiTheme="majorEastAsia" w:hAnsiTheme="majorEastAsia" w:eastAsiaTheme="majorEastAsia"/>
          <w:sz w:val="24"/>
        </w:rPr>
        <w:t>2.</w:t>
      </w:r>
      <w:r>
        <w:rPr>
          <w:rFonts w:cs="Times New Roman" w:asciiTheme="minorEastAsia" w:hAnsiTheme="minorEastAsia" w:eastAsiaTheme="minorEastAsia"/>
          <w:sz w:val="24"/>
        </w:rPr>
        <w:t xml:space="preserve"> 泰安市城区</w:t>
      </w:r>
      <w:r>
        <w:rPr>
          <w:rFonts w:cs="Times New Roman" w:asciiTheme="majorEastAsia" w:hAnsiTheme="majorEastAsia" w:eastAsiaTheme="majorEastAsia"/>
          <w:sz w:val="24"/>
        </w:rPr>
        <w:t>普通住宅</w:t>
      </w:r>
      <w:r>
        <w:rPr>
          <w:rFonts w:hint="eastAsia" w:cs="Times New Roman" w:asciiTheme="majorEastAsia" w:hAnsiTheme="majorEastAsia" w:eastAsiaTheme="majorEastAsia"/>
          <w:sz w:val="24"/>
        </w:rPr>
        <w:t>前期</w:t>
      </w:r>
      <w:r>
        <w:rPr>
          <w:rFonts w:cs="Times New Roman" w:asciiTheme="majorEastAsia" w:hAnsiTheme="majorEastAsia" w:eastAsiaTheme="majorEastAsia"/>
          <w:sz w:val="24"/>
        </w:rPr>
        <w:t>物业管理区域内停车服务费、车位（库）租赁费车位场地</w:t>
      </w:r>
    </w:p>
    <w:p>
      <w:pPr>
        <w:spacing w:line="320" w:lineRule="exact"/>
        <w:jc w:val="center"/>
        <w:rPr>
          <w:rFonts w:cs="Times New Roman" w:asciiTheme="majorEastAsia" w:hAnsiTheme="majorEastAsia" w:eastAsiaTheme="majorEastAsia"/>
          <w:sz w:val="24"/>
        </w:rPr>
      </w:pPr>
      <w:r>
        <w:rPr>
          <w:rFonts w:cs="Times New Roman" w:asciiTheme="majorEastAsia" w:hAnsiTheme="majorEastAsia" w:eastAsiaTheme="majorEastAsia"/>
          <w:sz w:val="24"/>
        </w:rPr>
        <w:t>使用费基准价格一览表</w:t>
      </w:r>
    </w:p>
    <w:tbl>
      <w:tblPr>
        <w:tblStyle w:val="11"/>
        <w:tblW w:w="4764" w:type="pct"/>
        <w:jc w:val="center"/>
        <w:shd w:val="clear" w:color="auto" w:fill="FFFFFF"/>
        <w:tblLayout w:type="autofit"/>
        <w:tblCellMar>
          <w:top w:w="0" w:type="dxa"/>
          <w:left w:w="108" w:type="dxa"/>
          <w:bottom w:w="0" w:type="dxa"/>
          <w:right w:w="108" w:type="dxa"/>
        </w:tblCellMar>
      </w:tblPr>
      <w:tblGrid>
        <w:gridCol w:w="851"/>
        <w:gridCol w:w="1569"/>
        <w:gridCol w:w="1266"/>
        <w:gridCol w:w="1112"/>
      </w:tblGrid>
      <w:tr>
        <w:tblPrEx>
          <w:shd w:val="clear" w:color="auto" w:fill="FFFFFF"/>
          <w:tblCellMar>
            <w:top w:w="0" w:type="dxa"/>
            <w:left w:w="108" w:type="dxa"/>
            <w:bottom w:w="0" w:type="dxa"/>
            <w:right w:w="108" w:type="dxa"/>
          </w:tblCellMar>
        </w:tblPrEx>
        <w:trPr>
          <w:trHeight w:val="448" w:hRule="atLeast"/>
          <w:jc w:val="center"/>
        </w:trPr>
        <w:tc>
          <w:tcPr>
            <w:tcW w:w="2522" w:type="pct"/>
            <w:gridSpan w:val="2"/>
            <w:tcBorders>
              <w:top w:val="single" w:color="auto" w:sz="4" w:space="0"/>
              <w:left w:val="single" w:color="auto" w:sz="4" w:space="0"/>
              <w:bottom w:val="single" w:color="auto" w:sz="4" w:space="0"/>
              <w:right w:val="single" w:color="000000" w:sz="4" w:space="0"/>
            </w:tcBorders>
            <w:shd w:val="clear" w:color="auto" w:fill="FFFFFF"/>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项目</w:t>
            </w:r>
          </w:p>
        </w:tc>
        <w:tc>
          <w:tcPr>
            <w:tcW w:w="1319" w:type="pct"/>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基准价格</w:t>
            </w:r>
          </w:p>
          <w:p>
            <w:pPr>
              <w:widowControl/>
              <w:spacing w:line="240" w:lineRule="exact"/>
              <w:ind w:left="-105" w:leftChars="-50" w:right="-105" w:rightChars="-50"/>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（元/车位·月）</w:t>
            </w:r>
          </w:p>
        </w:tc>
        <w:tc>
          <w:tcPr>
            <w:tcW w:w="1159" w:type="pct"/>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73" w:leftChars="-35" w:right="-73" w:rightChars="-35"/>
              <w:jc w:val="center"/>
              <w:rPr>
                <w:rFonts w:ascii="Times New Roman" w:hAnsi="Times New Roman" w:cs="Times New Roman" w:eastAsiaTheme="minorEastAsia"/>
                <w:kern w:val="0"/>
                <w:sz w:val="20"/>
                <w:szCs w:val="20"/>
              </w:rPr>
            </w:pPr>
            <w:r>
              <w:rPr>
                <w:rFonts w:ascii="Times New Roman" w:hAnsi="Times New Roman" w:cs="Times New Roman" w:eastAsiaTheme="minorEastAsia"/>
                <w:kern w:val="0"/>
                <w:sz w:val="20"/>
                <w:szCs w:val="20"/>
              </w:rPr>
              <w:t>备注</w:t>
            </w:r>
          </w:p>
        </w:tc>
      </w:tr>
      <w:tr>
        <w:tblPrEx>
          <w:tblCellMar>
            <w:top w:w="0" w:type="dxa"/>
            <w:left w:w="108" w:type="dxa"/>
            <w:bottom w:w="0" w:type="dxa"/>
            <w:right w:w="108" w:type="dxa"/>
          </w:tblCellMar>
        </w:tblPrEx>
        <w:trPr>
          <w:trHeight w:val="526" w:hRule="atLeast"/>
          <w:jc w:val="center"/>
        </w:trPr>
        <w:tc>
          <w:tcPr>
            <w:tcW w:w="88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rPr>
                <w:rFonts w:ascii="Times New Roman" w:hAnsi="Times New Roman" w:cs="Times New Roman" w:eastAsiaTheme="minorEastAsia"/>
                <w:kern w:val="0"/>
                <w:sz w:val="18"/>
                <w:szCs w:val="18"/>
              </w:rPr>
            </w:pPr>
            <w:bookmarkStart w:id="1" w:name="OLE_LINK13"/>
            <w:bookmarkStart w:id="2" w:name="OLE_LINK12"/>
            <w:r>
              <w:rPr>
                <w:rFonts w:ascii="Times New Roman" w:hAnsi="Times New Roman" w:cs="Times New Roman" w:eastAsiaTheme="minorEastAsia"/>
                <w:kern w:val="0"/>
                <w:sz w:val="18"/>
                <w:szCs w:val="18"/>
              </w:rPr>
              <w:t>车位（库）租赁费</w:t>
            </w:r>
            <w:bookmarkEnd w:id="1"/>
            <w:bookmarkEnd w:id="2"/>
          </w:p>
        </w:tc>
        <w:tc>
          <w:tcPr>
            <w:tcW w:w="163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bookmarkStart w:id="3" w:name="OLE_LINK14"/>
            <w:r>
              <w:rPr>
                <w:rFonts w:ascii="Times New Roman" w:hAnsi="Times New Roman" w:cs="Times New Roman" w:eastAsiaTheme="minorEastAsia"/>
                <w:kern w:val="0"/>
                <w:sz w:val="18"/>
                <w:szCs w:val="18"/>
              </w:rPr>
              <w:t>室外（产权属于开发建设单位）</w:t>
            </w:r>
            <w:bookmarkEnd w:id="3"/>
          </w:p>
        </w:tc>
        <w:tc>
          <w:tcPr>
            <w:tcW w:w="131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center"/>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150</w:t>
            </w:r>
          </w:p>
        </w:tc>
        <w:tc>
          <w:tcPr>
            <w:tcW w:w="1159"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物业管理区域内规划用于停车</w:t>
            </w:r>
          </w:p>
        </w:tc>
      </w:tr>
      <w:tr>
        <w:tblPrEx>
          <w:tblCellMar>
            <w:top w:w="0" w:type="dxa"/>
            <w:left w:w="108" w:type="dxa"/>
            <w:bottom w:w="0" w:type="dxa"/>
            <w:right w:w="108" w:type="dxa"/>
          </w:tblCellMar>
        </w:tblPrEx>
        <w:trPr>
          <w:trHeight w:val="420" w:hRule="atLeast"/>
          <w:jc w:val="center"/>
        </w:trPr>
        <w:tc>
          <w:tcPr>
            <w:tcW w:w="8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rPr>
                <w:rFonts w:ascii="Times New Roman" w:hAnsi="Times New Roman" w:cs="Times New Roman" w:eastAsiaTheme="minorEastAsia"/>
                <w:kern w:val="0"/>
                <w:sz w:val="18"/>
                <w:szCs w:val="18"/>
              </w:rPr>
            </w:pPr>
          </w:p>
        </w:tc>
        <w:tc>
          <w:tcPr>
            <w:tcW w:w="163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室内（共有车库内的车库、车位）</w:t>
            </w:r>
          </w:p>
        </w:tc>
        <w:tc>
          <w:tcPr>
            <w:tcW w:w="131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center"/>
              <w:rPr>
                <w:rFonts w:ascii="Times New Roman" w:hAnsi="Times New Roman" w:cs="Times New Roman" w:eastAsiaTheme="minorEastAsia"/>
                <w:kern w:val="0"/>
                <w:sz w:val="18"/>
                <w:szCs w:val="18"/>
              </w:rPr>
            </w:pPr>
            <w:r>
              <w:rPr>
                <w:rFonts w:ascii="Times New Roman" w:hAnsi="Times New Roman" w:cs="Times New Roman" w:eastAsiaTheme="minorEastAsia"/>
                <w:bCs/>
                <w:kern w:val="0"/>
                <w:sz w:val="18"/>
                <w:szCs w:val="18"/>
              </w:rPr>
              <w:t>200</w:t>
            </w:r>
          </w:p>
        </w:tc>
        <w:tc>
          <w:tcPr>
            <w:tcW w:w="1159"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p>
        </w:tc>
      </w:tr>
      <w:tr>
        <w:tblPrEx>
          <w:tblCellMar>
            <w:top w:w="0" w:type="dxa"/>
            <w:left w:w="108" w:type="dxa"/>
            <w:bottom w:w="0" w:type="dxa"/>
            <w:right w:w="108" w:type="dxa"/>
          </w:tblCellMar>
        </w:tblPrEx>
        <w:trPr>
          <w:trHeight w:val="343" w:hRule="atLeast"/>
          <w:jc w:val="center"/>
        </w:trPr>
        <w:tc>
          <w:tcPr>
            <w:tcW w:w="8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rPr>
                <w:rFonts w:ascii="Times New Roman" w:hAnsi="Times New Roman" w:cs="Times New Roman" w:eastAsiaTheme="minorEastAsia"/>
                <w:kern w:val="0"/>
                <w:sz w:val="18"/>
                <w:szCs w:val="18"/>
              </w:rPr>
            </w:pPr>
          </w:p>
        </w:tc>
        <w:tc>
          <w:tcPr>
            <w:tcW w:w="163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电动立体停车位</w:t>
            </w:r>
          </w:p>
        </w:tc>
        <w:tc>
          <w:tcPr>
            <w:tcW w:w="131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center"/>
              <w:rPr>
                <w:rFonts w:ascii="Times New Roman" w:hAnsi="Times New Roman" w:cs="Times New Roman" w:eastAsiaTheme="minorEastAsia"/>
                <w:kern w:val="0"/>
                <w:sz w:val="18"/>
                <w:szCs w:val="18"/>
              </w:rPr>
            </w:pPr>
            <w:r>
              <w:rPr>
                <w:rFonts w:ascii="Times New Roman" w:hAnsi="Times New Roman" w:cs="Times New Roman" w:eastAsiaTheme="minorEastAsia"/>
                <w:bCs/>
                <w:kern w:val="0"/>
                <w:sz w:val="18"/>
                <w:szCs w:val="18"/>
              </w:rPr>
              <w:t>200</w:t>
            </w:r>
          </w:p>
        </w:tc>
        <w:tc>
          <w:tcPr>
            <w:tcW w:w="1159"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p>
        </w:tc>
      </w:tr>
      <w:tr>
        <w:tblPrEx>
          <w:tblCellMar>
            <w:top w:w="0" w:type="dxa"/>
            <w:left w:w="108" w:type="dxa"/>
            <w:bottom w:w="0" w:type="dxa"/>
            <w:right w:w="108" w:type="dxa"/>
          </w:tblCellMar>
        </w:tblPrEx>
        <w:trPr>
          <w:trHeight w:val="432" w:hRule="atLeast"/>
          <w:jc w:val="center"/>
        </w:trPr>
        <w:tc>
          <w:tcPr>
            <w:tcW w:w="88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停车服务费</w:t>
            </w:r>
          </w:p>
        </w:tc>
        <w:tc>
          <w:tcPr>
            <w:tcW w:w="163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室外（产权属于开发建设单位）</w:t>
            </w:r>
          </w:p>
        </w:tc>
        <w:tc>
          <w:tcPr>
            <w:tcW w:w="131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center"/>
              <w:rPr>
                <w:rFonts w:ascii="Times New Roman" w:hAnsi="Times New Roman" w:cs="Times New Roman" w:eastAsiaTheme="minorEastAsia"/>
                <w:kern w:val="0"/>
                <w:sz w:val="18"/>
                <w:szCs w:val="18"/>
              </w:rPr>
            </w:pPr>
            <w:r>
              <w:rPr>
                <w:rFonts w:ascii="Times New Roman" w:hAnsi="Times New Roman" w:cs="Times New Roman" w:eastAsiaTheme="minorEastAsia"/>
                <w:bCs/>
                <w:kern w:val="0"/>
                <w:sz w:val="18"/>
                <w:szCs w:val="18"/>
              </w:rPr>
              <w:t>20</w:t>
            </w:r>
          </w:p>
        </w:tc>
        <w:tc>
          <w:tcPr>
            <w:tcW w:w="1159"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物业管理区域内规划用于停车</w:t>
            </w:r>
          </w:p>
        </w:tc>
      </w:tr>
      <w:tr>
        <w:tblPrEx>
          <w:tblCellMar>
            <w:top w:w="0" w:type="dxa"/>
            <w:left w:w="108" w:type="dxa"/>
            <w:bottom w:w="0" w:type="dxa"/>
            <w:right w:w="108" w:type="dxa"/>
          </w:tblCellMar>
        </w:tblPrEx>
        <w:trPr>
          <w:trHeight w:val="496" w:hRule="atLeast"/>
          <w:jc w:val="center"/>
        </w:trPr>
        <w:tc>
          <w:tcPr>
            <w:tcW w:w="8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center"/>
              <w:rPr>
                <w:rFonts w:ascii="Times New Roman" w:hAnsi="Times New Roman" w:cs="Times New Roman" w:eastAsiaTheme="minorEastAsia"/>
                <w:kern w:val="0"/>
                <w:sz w:val="18"/>
                <w:szCs w:val="18"/>
              </w:rPr>
            </w:pPr>
          </w:p>
        </w:tc>
        <w:tc>
          <w:tcPr>
            <w:tcW w:w="163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室内（共有车库内的车位）</w:t>
            </w:r>
          </w:p>
        </w:tc>
        <w:tc>
          <w:tcPr>
            <w:tcW w:w="131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center"/>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30</w:t>
            </w:r>
          </w:p>
        </w:tc>
        <w:tc>
          <w:tcPr>
            <w:tcW w:w="1159"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p>
        </w:tc>
      </w:tr>
      <w:tr>
        <w:tblPrEx>
          <w:tblCellMar>
            <w:top w:w="0" w:type="dxa"/>
            <w:left w:w="108" w:type="dxa"/>
            <w:bottom w:w="0" w:type="dxa"/>
            <w:right w:w="108" w:type="dxa"/>
          </w:tblCellMar>
        </w:tblPrEx>
        <w:trPr>
          <w:trHeight w:val="414" w:hRule="atLeast"/>
          <w:jc w:val="center"/>
        </w:trPr>
        <w:tc>
          <w:tcPr>
            <w:tcW w:w="8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center"/>
              <w:rPr>
                <w:rFonts w:ascii="Times New Roman" w:hAnsi="Times New Roman" w:cs="Times New Roman" w:eastAsiaTheme="minorEastAsia"/>
                <w:kern w:val="0"/>
                <w:sz w:val="18"/>
                <w:szCs w:val="18"/>
              </w:rPr>
            </w:pPr>
          </w:p>
        </w:tc>
        <w:tc>
          <w:tcPr>
            <w:tcW w:w="163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电动立体停车位</w:t>
            </w:r>
          </w:p>
        </w:tc>
        <w:tc>
          <w:tcPr>
            <w:tcW w:w="131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center"/>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40</w:t>
            </w:r>
          </w:p>
        </w:tc>
        <w:tc>
          <w:tcPr>
            <w:tcW w:w="1159"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p>
        </w:tc>
      </w:tr>
      <w:tr>
        <w:tblPrEx>
          <w:tblCellMar>
            <w:top w:w="0" w:type="dxa"/>
            <w:left w:w="108" w:type="dxa"/>
            <w:bottom w:w="0" w:type="dxa"/>
            <w:right w:w="108" w:type="dxa"/>
          </w:tblCellMar>
        </w:tblPrEx>
        <w:trPr>
          <w:trHeight w:val="1119" w:hRule="atLeast"/>
          <w:jc w:val="center"/>
        </w:trPr>
        <w:tc>
          <w:tcPr>
            <w:tcW w:w="2522"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车位场地使用费</w:t>
            </w:r>
          </w:p>
        </w:tc>
        <w:tc>
          <w:tcPr>
            <w:tcW w:w="131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center"/>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100</w:t>
            </w:r>
          </w:p>
        </w:tc>
        <w:tc>
          <w:tcPr>
            <w:tcW w:w="11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73" w:leftChars="-35" w:right="-73" w:rightChars="-35"/>
              <w:jc w:val="left"/>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占用物业管理区域内业主共有道路或者其他场地停车</w:t>
            </w:r>
          </w:p>
        </w:tc>
      </w:tr>
    </w:tbl>
    <w:p>
      <w:pPr>
        <w:spacing w:line="320" w:lineRule="exact"/>
        <w:ind w:left="810" w:hanging="810" w:hangingChars="450"/>
        <w:rPr>
          <w:rFonts w:hint="eastAsia" w:ascii="Times New Roman" w:hAnsi="Times New Roman" w:eastAsia="仿宋_GB2312" w:cs="Times New Roman"/>
          <w:sz w:val="18"/>
          <w:szCs w:val="18"/>
        </w:rPr>
      </w:pPr>
      <w:r>
        <w:rPr>
          <w:rFonts w:ascii="Times New Roman" w:hAnsi="Times New Roman" w:eastAsia="仿宋_GB2312" w:cs="Times New Roman"/>
          <w:sz w:val="18"/>
          <w:szCs w:val="18"/>
        </w:rPr>
        <w:t>备注：</w:t>
      </w:r>
    </w:p>
    <w:p>
      <w:pPr>
        <w:spacing w:line="320" w:lineRule="exact"/>
        <w:ind w:firstLine="360" w:firstLineChars="200"/>
        <w:rPr>
          <w:rFonts w:ascii="Times New Roman" w:hAnsi="Times New Roman" w:eastAsia="仿宋_GB2312" w:cs="Times New Roman"/>
          <w:sz w:val="18"/>
          <w:szCs w:val="18"/>
        </w:rPr>
      </w:pPr>
      <w:r>
        <w:rPr>
          <w:rFonts w:ascii="Times New Roman" w:hAnsi="Times New Roman" w:eastAsia="仿宋_GB2312" w:cs="Times New Roman"/>
          <w:sz w:val="18"/>
          <w:szCs w:val="18"/>
        </w:rPr>
        <w:t>1</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占用物业管理区域内业主共有道路或者其他场地停放汽车的，应交纳车位场地使用费，不再交纳车位（库）租赁费和停车服务费。</w:t>
      </w:r>
    </w:p>
    <w:p>
      <w:pPr>
        <w:spacing w:line="320" w:lineRule="exact"/>
        <w:ind w:firstLine="360" w:firstLineChars="200"/>
        <w:rPr>
          <w:rFonts w:ascii="Times New Roman" w:hAnsi="Times New Roman" w:eastAsia="仿宋_GB2312" w:cs="Times New Roman"/>
          <w:sz w:val="18"/>
          <w:szCs w:val="18"/>
        </w:rPr>
      </w:pPr>
      <w:r>
        <w:rPr>
          <w:rFonts w:ascii="Times New Roman" w:hAnsi="Times New Roman" w:eastAsia="仿宋_GB2312" w:cs="Times New Roman"/>
          <w:sz w:val="18"/>
          <w:szCs w:val="18"/>
        </w:rPr>
        <w:t>2</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独立专有车库，按照房屋权属证书或购房合同载明的建筑面积交纳物业服务费（不配备电梯），不再交纳停车服务费。</w:t>
      </w:r>
    </w:p>
    <w:p>
      <w:pPr>
        <w:spacing w:line="320" w:lineRule="exact"/>
        <w:ind w:firstLine="360" w:firstLineChars="200"/>
        <w:rPr>
          <w:rFonts w:ascii="Times New Roman" w:hAnsi="Times New Roman" w:eastAsia="仿宋_GB2312" w:cs="Times New Roman"/>
          <w:sz w:val="18"/>
          <w:szCs w:val="18"/>
        </w:rPr>
        <w:sectPr>
          <w:pgSz w:w="5954" w:h="10490"/>
          <w:pgMar w:top="680" w:right="567" w:bottom="680" w:left="567" w:header="397" w:footer="454" w:gutter="0"/>
          <w:cols w:space="425" w:num="1"/>
          <w:docGrid w:linePitch="312" w:charSpace="0"/>
        </w:sectPr>
      </w:pPr>
      <w:r>
        <w:rPr>
          <w:rFonts w:hint="eastAsia" w:ascii="Times New Roman" w:hAnsi="Times New Roman" w:eastAsia="仿宋_GB2312" w:cs="Times New Roman"/>
          <w:sz w:val="18"/>
          <w:szCs w:val="18"/>
        </w:rPr>
        <w:t>3.</w:t>
      </w:r>
      <w:r>
        <w:rPr>
          <w:rFonts w:ascii="Times New Roman" w:hAnsi="Times New Roman" w:eastAsia="仿宋_GB2312" w:cs="Times New Roman"/>
          <w:sz w:val="18"/>
          <w:szCs w:val="18"/>
        </w:rPr>
        <w:t>物业服务企业不得向进入物业管理区域内为业主或物业使用人配送、维修、安装、执行公务等车辆收取停车费</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其他外来车辆，</w:t>
      </w:r>
      <w:r>
        <w:rPr>
          <w:rFonts w:hint="eastAsia" w:ascii="Times New Roman" w:hAnsi="Times New Roman" w:eastAsia="仿宋_GB2312" w:cs="Times New Roman"/>
          <w:sz w:val="18"/>
          <w:szCs w:val="18"/>
        </w:rPr>
        <w:t>停车</w:t>
      </w:r>
      <w:r>
        <w:rPr>
          <w:rFonts w:ascii="Times New Roman" w:hAnsi="Times New Roman" w:eastAsia="仿宋_GB2312" w:cs="Times New Roman"/>
          <w:sz w:val="18"/>
          <w:szCs w:val="18"/>
        </w:rPr>
        <w:t>超过2小时的可按照1元/小时/辆</w:t>
      </w:r>
      <w:r>
        <w:rPr>
          <w:rFonts w:hint="eastAsia" w:ascii="Times New Roman" w:hAnsi="Times New Roman" w:eastAsia="仿宋_GB2312" w:cs="Times New Roman"/>
          <w:sz w:val="18"/>
          <w:szCs w:val="18"/>
        </w:rPr>
        <w:t>收费</w:t>
      </w:r>
      <w:r>
        <w:rPr>
          <w:rFonts w:ascii="Times New Roman" w:hAnsi="Times New Roman" w:eastAsia="仿宋_GB2312" w:cs="Times New Roman"/>
          <w:sz w:val="18"/>
          <w:szCs w:val="18"/>
        </w:rPr>
        <w:t>，不足1小时按1小时计算，每车每24小时最高收费不得超过10元。</w:t>
      </w:r>
    </w:p>
    <w:p>
      <w:pPr>
        <w:spacing w:line="320" w:lineRule="exact"/>
        <w:rPr>
          <w:rFonts w:ascii="Times New Roman" w:hAnsi="Times New Roman" w:eastAsia="黑体" w:cs="Times New Roman"/>
          <w:sz w:val="24"/>
        </w:rPr>
      </w:pPr>
      <w:r>
        <w:rPr>
          <w:rFonts w:ascii="Times New Roman" w:hAnsi="Times New Roman" w:eastAsia="黑体" w:cs="Times New Roman"/>
          <w:sz w:val="24"/>
        </w:rPr>
        <w:t>七、殡葬服务收费</w:t>
      </w:r>
    </w:p>
    <w:p>
      <w:pPr>
        <w:spacing w:line="120" w:lineRule="exact"/>
        <w:rPr>
          <w:rFonts w:ascii="Times New Roman" w:hAnsi="Times New Roman" w:eastAsia="黑体" w:cs="Times New Roman"/>
          <w:sz w:val="24"/>
        </w:rPr>
      </w:pPr>
    </w:p>
    <w:p>
      <w:pPr>
        <w:spacing w:line="320" w:lineRule="exact"/>
        <w:jc w:val="center"/>
        <w:rPr>
          <w:rFonts w:ascii="宋体" w:hAnsi="宋体" w:cs="Times New Roman"/>
          <w:sz w:val="24"/>
        </w:rPr>
      </w:pPr>
      <w:r>
        <w:rPr>
          <w:rFonts w:ascii="宋体" w:hAnsi="宋体" w:cs="Times New Roman"/>
          <w:sz w:val="24"/>
        </w:rPr>
        <w:t>泰安市城区殡葬基本服务项目收费标准</w:t>
      </w:r>
    </w:p>
    <w:tbl>
      <w:tblPr>
        <w:tblStyle w:val="11"/>
        <w:tblW w:w="4751" w:type="pct"/>
        <w:tblInd w:w="0" w:type="dxa"/>
        <w:tblLayout w:type="fixed"/>
        <w:tblCellMar>
          <w:top w:w="0" w:type="dxa"/>
          <w:left w:w="108" w:type="dxa"/>
          <w:bottom w:w="0" w:type="dxa"/>
          <w:right w:w="108" w:type="dxa"/>
        </w:tblCellMar>
      </w:tblPr>
      <w:tblGrid>
        <w:gridCol w:w="1676"/>
        <w:gridCol w:w="784"/>
        <w:gridCol w:w="588"/>
        <w:gridCol w:w="588"/>
        <w:gridCol w:w="1150"/>
      </w:tblGrid>
      <w:tr>
        <w:tblPrEx>
          <w:tblCellMar>
            <w:top w:w="0" w:type="dxa"/>
            <w:left w:w="108" w:type="dxa"/>
            <w:bottom w:w="0" w:type="dxa"/>
            <w:right w:w="108" w:type="dxa"/>
          </w:tblCellMar>
        </w:tblPrEx>
        <w:trPr>
          <w:trHeight w:val="624" w:hRule="atLeast"/>
          <w:tblHeader/>
        </w:trPr>
        <w:tc>
          <w:tcPr>
            <w:tcW w:w="17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收费项目</w:t>
            </w:r>
          </w:p>
        </w:tc>
        <w:tc>
          <w:tcPr>
            <w:tcW w:w="819"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收费</w:t>
            </w:r>
          </w:p>
          <w:p>
            <w:pPr>
              <w:widowControl/>
              <w:spacing w:line="240" w:lineRule="exact"/>
              <w:ind w:left="-73" w:leftChars="-35" w:right="-73" w:rightChars="-35"/>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性质</w:t>
            </w:r>
          </w:p>
        </w:tc>
        <w:tc>
          <w:tcPr>
            <w:tcW w:w="61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计费单位</w:t>
            </w:r>
          </w:p>
        </w:tc>
        <w:tc>
          <w:tcPr>
            <w:tcW w:w="61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收费标准</w:t>
            </w:r>
          </w:p>
        </w:tc>
        <w:tc>
          <w:tcPr>
            <w:tcW w:w="120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备注</w:t>
            </w:r>
          </w:p>
        </w:tc>
      </w:tr>
      <w:tr>
        <w:tblPrEx>
          <w:tblCellMar>
            <w:top w:w="0" w:type="dxa"/>
            <w:left w:w="108" w:type="dxa"/>
            <w:bottom w:w="0" w:type="dxa"/>
            <w:right w:w="108" w:type="dxa"/>
          </w:tblCellMar>
        </w:tblPrEx>
        <w:trPr>
          <w:trHeight w:val="608" w:hRule="atLeast"/>
        </w:trPr>
        <w:tc>
          <w:tcPr>
            <w:tcW w:w="17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b/>
                <w:kern w:val="0"/>
                <w:sz w:val="20"/>
                <w:szCs w:val="20"/>
              </w:rPr>
            </w:pPr>
            <w:r>
              <w:rPr>
                <w:rFonts w:ascii="Times New Roman" w:hAnsi="Times New Roman" w:cs="Times New Roman" w:eastAsiaTheme="majorEastAsia"/>
                <w:b/>
                <w:kern w:val="0"/>
                <w:sz w:val="20"/>
                <w:szCs w:val="20"/>
              </w:rPr>
              <w:t>1、遗体接运费（含抬尸、消毒）</w:t>
            </w:r>
          </w:p>
        </w:tc>
        <w:tc>
          <w:tcPr>
            <w:tcW w:w="819"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p>
        </w:tc>
        <w:tc>
          <w:tcPr>
            <w:tcW w:w="1201"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p>
        </w:tc>
      </w:tr>
      <w:tr>
        <w:tblPrEx>
          <w:tblCellMar>
            <w:top w:w="0" w:type="dxa"/>
            <w:left w:w="108" w:type="dxa"/>
            <w:bottom w:w="0" w:type="dxa"/>
            <w:right w:w="108" w:type="dxa"/>
          </w:tblCellMar>
        </w:tblPrEx>
        <w:trPr>
          <w:trHeight w:val="595" w:hRule="atLeast"/>
        </w:trPr>
        <w:tc>
          <w:tcPr>
            <w:tcW w:w="17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20公里及以内</w:t>
            </w:r>
          </w:p>
        </w:tc>
        <w:tc>
          <w:tcPr>
            <w:tcW w:w="819"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行政</w:t>
            </w:r>
          </w:p>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事业性</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元/具</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100</w:t>
            </w:r>
          </w:p>
        </w:tc>
        <w:tc>
          <w:tcPr>
            <w:tcW w:w="1201"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p>
        </w:tc>
      </w:tr>
      <w:tr>
        <w:tblPrEx>
          <w:tblCellMar>
            <w:top w:w="0" w:type="dxa"/>
            <w:left w:w="108" w:type="dxa"/>
            <w:bottom w:w="0" w:type="dxa"/>
            <w:right w:w="108" w:type="dxa"/>
          </w:tblCellMar>
        </w:tblPrEx>
        <w:trPr>
          <w:trHeight w:val="706" w:hRule="atLeast"/>
        </w:trPr>
        <w:tc>
          <w:tcPr>
            <w:tcW w:w="17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超20公里的</w:t>
            </w:r>
          </w:p>
        </w:tc>
        <w:tc>
          <w:tcPr>
            <w:tcW w:w="819"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行政</w:t>
            </w:r>
          </w:p>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事业性</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105" w:leftChars="-50" w:right="-105" w:rightChars="-50"/>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每超</w:t>
            </w:r>
          </w:p>
          <w:p>
            <w:pPr>
              <w:widowControl/>
              <w:spacing w:line="240" w:lineRule="exact"/>
              <w:ind w:left="-105" w:leftChars="-50" w:right="-105" w:rightChars="-50"/>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1公里</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加收3元</w:t>
            </w:r>
          </w:p>
        </w:tc>
        <w:tc>
          <w:tcPr>
            <w:tcW w:w="1201"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按往返里程</w:t>
            </w:r>
          </w:p>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计算</w:t>
            </w:r>
          </w:p>
        </w:tc>
      </w:tr>
      <w:tr>
        <w:tblPrEx>
          <w:tblCellMar>
            <w:top w:w="0" w:type="dxa"/>
            <w:left w:w="108" w:type="dxa"/>
            <w:bottom w:w="0" w:type="dxa"/>
            <w:right w:w="108" w:type="dxa"/>
          </w:tblCellMar>
        </w:tblPrEx>
        <w:trPr>
          <w:trHeight w:val="598" w:hRule="atLeast"/>
        </w:trPr>
        <w:tc>
          <w:tcPr>
            <w:tcW w:w="17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馆内抬尸费</w:t>
            </w:r>
          </w:p>
        </w:tc>
        <w:tc>
          <w:tcPr>
            <w:tcW w:w="819"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行政</w:t>
            </w:r>
          </w:p>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事业性</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元/具</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50</w:t>
            </w:r>
          </w:p>
        </w:tc>
        <w:tc>
          <w:tcPr>
            <w:tcW w:w="1201"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p>
        </w:tc>
      </w:tr>
      <w:tr>
        <w:tblPrEx>
          <w:tblCellMar>
            <w:top w:w="0" w:type="dxa"/>
            <w:left w:w="108" w:type="dxa"/>
            <w:bottom w:w="0" w:type="dxa"/>
            <w:right w:w="108" w:type="dxa"/>
          </w:tblCellMar>
        </w:tblPrEx>
        <w:trPr>
          <w:trHeight w:val="586" w:hRule="atLeast"/>
        </w:trPr>
        <w:tc>
          <w:tcPr>
            <w:tcW w:w="17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hint="eastAsia" w:ascii="Times New Roman" w:hAnsi="Times New Roman" w:cs="Times New Roman" w:eastAsiaTheme="majorEastAsia"/>
                <w:kern w:val="0"/>
                <w:sz w:val="20"/>
                <w:szCs w:val="20"/>
                <w:lang w:eastAsia="zh-CN"/>
              </w:rPr>
              <w:t>车内</w:t>
            </w:r>
            <w:r>
              <w:rPr>
                <w:rFonts w:ascii="Times New Roman" w:hAnsi="Times New Roman" w:cs="Times New Roman" w:eastAsiaTheme="majorEastAsia"/>
                <w:kern w:val="0"/>
                <w:sz w:val="20"/>
                <w:szCs w:val="20"/>
              </w:rPr>
              <w:t>消毒费</w:t>
            </w:r>
          </w:p>
        </w:tc>
        <w:tc>
          <w:tcPr>
            <w:tcW w:w="819"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行政</w:t>
            </w:r>
          </w:p>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事业性</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元/具</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50</w:t>
            </w:r>
          </w:p>
        </w:tc>
        <w:tc>
          <w:tcPr>
            <w:tcW w:w="1201"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p>
        </w:tc>
      </w:tr>
      <w:tr>
        <w:tblPrEx>
          <w:tblCellMar>
            <w:top w:w="0" w:type="dxa"/>
            <w:left w:w="108" w:type="dxa"/>
            <w:bottom w:w="0" w:type="dxa"/>
            <w:right w:w="108" w:type="dxa"/>
          </w:tblCellMar>
        </w:tblPrEx>
        <w:trPr>
          <w:trHeight w:val="851" w:hRule="atLeast"/>
        </w:trPr>
        <w:tc>
          <w:tcPr>
            <w:tcW w:w="17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b/>
                <w:kern w:val="0"/>
                <w:sz w:val="20"/>
                <w:szCs w:val="20"/>
              </w:rPr>
            </w:pPr>
            <w:r>
              <w:rPr>
                <w:rFonts w:ascii="Times New Roman" w:hAnsi="Times New Roman" w:cs="Times New Roman" w:eastAsiaTheme="majorEastAsia"/>
                <w:b/>
                <w:kern w:val="0"/>
                <w:sz w:val="20"/>
                <w:szCs w:val="20"/>
              </w:rPr>
              <w:t>2、遗体存放费</w:t>
            </w:r>
          </w:p>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b/>
                <w:kern w:val="0"/>
                <w:sz w:val="20"/>
                <w:szCs w:val="20"/>
              </w:rPr>
              <w:t>（含冷藏</w:t>
            </w:r>
            <w:r>
              <w:rPr>
                <w:rFonts w:hint="eastAsia" w:ascii="Times New Roman" w:hAnsi="Times New Roman" w:cs="Times New Roman" w:eastAsiaTheme="majorEastAsia"/>
                <w:b/>
                <w:kern w:val="0"/>
                <w:sz w:val="20"/>
                <w:szCs w:val="20"/>
                <w:lang w:eastAsia="zh-CN"/>
              </w:rPr>
              <w:t>、冷冻保存</w:t>
            </w:r>
            <w:r>
              <w:rPr>
                <w:rFonts w:ascii="Times New Roman" w:hAnsi="Times New Roman" w:cs="Times New Roman" w:eastAsiaTheme="majorEastAsia"/>
                <w:b/>
                <w:kern w:val="0"/>
                <w:sz w:val="20"/>
                <w:szCs w:val="20"/>
              </w:rPr>
              <w:t>）</w:t>
            </w:r>
          </w:p>
        </w:tc>
        <w:tc>
          <w:tcPr>
            <w:tcW w:w="819"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行政</w:t>
            </w:r>
          </w:p>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事业性</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105" w:leftChars="-50" w:right="-105" w:rightChars="-50"/>
              <w:jc w:val="center"/>
              <w:rPr>
                <w:rFonts w:ascii="Times New Roman" w:hAnsi="Times New Roman" w:cs="Times New Roman" w:eastAsiaTheme="majorEastAsia"/>
                <w:spacing w:val="-8"/>
                <w:w w:val="90"/>
                <w:kern w:val="0"/>
                <w:sz w:val="20"/>
                <w:szCs w:val="20"/>
              </w:rPr>
            </w:pPr>
            <w:r>
              <w:rPr>
                <w:rFonts w:ascii="Times New Roman" w:hAnsi="Times New Roman" w:cs="Times New Roman" w:eastAsiaTheme="majorEastAsia"/>
                <w:spacing w:val="-8"/>
                <w:w w:val="90"/>
                <w:kern w:val="0"/>
                <w:sz w:val="20"/>
                <w:szCs w:val="20"/>
              </w:rPr>
              <w:t>元/具·小时</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5</w:t>
            </w:r>
          </w:p>
        </w:tc>
        <w:tc>
          <w:tcPr>
            <w:tcW w:w="1201"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p>
        </w:tc>
      </w:tr>
      <w:tr>
        <w:tblPrEx>
          <w:tblCellMar>
            <w:top w:w="0" w:type="dxa"/>
            <w:left w:w="108" w:type="dxa"/>
            <w:bottom w:w="0" w:type="dxa"/>
            <w:right w:w="108" w:type="dxa"/>
          </w:tblCellMar>
        </w:tblPrEx>
        <w:trPr>
          <w:trHeight w:val="478" w:hRule="atLeast"/>
        </w:trPr>
        <w:tc>
          <w:tcPr>
            <w:tcW w:w="17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b/>
                <w:kern w:val="0"/>
                <w:sz w:val="20"/>
                <w:szCs w:val="20"/>
              </w:rPr>
            </w:pPr>
            <w:r>
              <w:rPr>
                <w:rFonts w:ascii="Times New Roman" w:hAnsi="Times New Roman" w:cs="Times New Roman" w:eastAsiaTheme="majorEastAsia"/>
                <w:b/>
                <w:kern w:val="0"/>
                <w:sz w:val="20"/>
                <w:szCs w:val="20"/>
              </w:rPr>
              <w:t>3、遗体火化费</w:t>
            </w:r>
          </w:p>
        </w:tc>
        <w:tc>
          <w:tcPr>
            <w:tcW w:w="819"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b/>
                <w:kern w:val="0"/>
                <w:sz w:val="20"/>
                <w:szCs w:val="20"/>
              </w:rPr>
            </w:pP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p>
        </w:tc>
        <w:tc>
          <w:tcPr>
            <w:tcW w:w="1201"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p>
        </w:tc>
      </w:tr>
      <w:tr>
        <w:tblPrEx>
          <w:tblCellMar>
            <w:top w:w="0" w:type="dxa"/>
            <w:left w:w="108" w:type="dxa"/>
            <w:bottom w:w="0" w:type="dxa"/>
            <w:right w:w="108" w:type="dxa"/>
          </w:tblCellMar>
        </w:tblPrEx>
        <w:trPr>
          <w:trHeight w:val="528" w:hRule="atLeast"/>
        </w:trPr>
        <w:tc>
          <w:tcPr>
            <w:tcW w:w="17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普通火化炉</w:t>
            </w:r>
          </w:p>
        </w:tc>
        <w:tc>
          <w:tcPr>
            <w:tcW w:w="819"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行政</w:t>
            </w:r>
          </w:p>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事业性</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元/具</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hint="default" w:ascii="Times New Roman" w:hAnsi="Times New Roman" w:cs="Times New Roman" w:eastAsiaTheme="majorEastAsia"/>
                <w:kern w:val="0"/>
                <w:sz w:val="20"/>
                <w:szCs w:val="20"/>
                <w:lang w:val="en-US" w:eastAsia="zh-CN"/>
              </w:rPr>
            </w:pPr>
            <w:r>
              <w:rPr>
                <w:rFonts w:hint="eastAsia" w:ascii="Times New Roman" w:hAnsi="Times New Roman" w:cs="Times New Roman" w:eastAsiaTheme="majorEastAsia"/>
                <w:kern w:val="0"/>
                <w:sz w:val="20"/>
                <w:szCs w:val="20"/>
                <w:lang w:val="en-US" w:eastAsia="zh-CN"/>
              </w:rPr>
              <w:t>187</w:t>
            </w:r>
          </w:p>
        </w:tc>
        <w:tc>
          <w:tcPr>
            <w:tcW w:w="1201"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7岁以下儿童减半。</w:t>
            </w:r>
          </w:p>
        </w:tc>
      </w:tr>
      <w:tr>
        <w:tblPrEx>
          <w:tblCellMar>
            <w:top w:w="0" w:type="dxa"/>
            <w:left w:w="108" w:type="dxa"/>
            <w:bottom w:w="0" w:type="dxa"/>
            <w:right w:w="108" w:type="dxa"/>
          </w:tblCellMar>
        </w:tblPrEx>
        <w:trPr>
          <w:trHeight w:val="632" w:hRule="atLeast"/>
        </w:trPr>
        <w:tc>
          <w:tcPr>
            <w:tcW w:w="17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高档火化炉</w:t>
            </w:r>
          </w:p>
        </w:tc>
        <w:tc>
          <w:tcPr>
            <w:tcW w:w="819"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行政</w:t>
            </w:r>
          </w:p>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事业性</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元/具</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hint="default" w:ascii="Times New Roman" w:hAnsi="Times New Roman" w:cs="Times New Roman" w:eastAsiaTheme="majorEastAsia"/>
                <w:kern w:val="0"/>
                <w:sz w:val="20"/>
                <w:szCs w:val="20"/>
                <w:lang w:val="en-US" w:eastAsia="zh-CN"/>
              </w:rPr>
            </w:pPr>
            <w:r>
              <w:rPr>
                <w:rFonts w:hint="eastAsia" w:ascii="Times New Roman" w:hAnsi="Times New Roman" w:cs="Times New Roman" w:eastAsiaTheme="majorEastAsia"/>
                <w:kern w:val="0"/>
                <w:sz w:val="20"/>
                <w:szCs w:val="20"/>
                <w:lang w:val="en-US" w:eastAsia="zh-CN"/>
              </w:rPr>
              <w:t>605</w:t>
            </w:r>
          </w:p>
        </w:tc>
        <w:tc>
          <w:tcPr>
            <w:tcW w:w="1201" w:type="pct"/>
            <w:vMerge w:val="continue"/>
            <w:tcBorders>
              <w:top w:val="nil"/>
              <w:left w:val="single" w:color="auto" w:sz="4" w:space="0"/>
              <w:bottom w:val="single" w:color="auto" w:sz="4" w:space="0"/>
              <w:right w:val="single" w:color="auto" w:sz="4" w:space="0"/>
            </w:tcBorders>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p>
        </w:tc>
      </w:tr>
      <w:tr>
        <w:tblPrEx>
          <w:tblCellMar>
            <w:top w:w="0" w:type="dxa"/>
            <w:left w:w="108" w:type="dxa"/>
            <w:bottom w:w="0" w:type="dxa"/>
            <w:right w:w="108" w:type="dxa"/>
          </w:tblCellMar>
        </w:tblPrEx>
        <w:trPr>
          <w:trHeight w:val="1815" w:hRule="atLeast"/>
        </w:trPr>
        <w:tc>
          <w:tcPr>
            <w:tcW w:w="17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b/>
                <w:kern w:val="0"/>
                <w:sz w:val="20"/>
                <w:szCs w:val="20"/>
              </w:rPr>
              <w:t>4、骨灰寄存费</w:t>
            </w:r>
          </w:p>
        </w:tc>
        <w:tc>
          <w:tcPr>
            <w:tcW w:w="8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行政</w:t>
            </w:r>
          </w:p>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事业性</w:t>
            </w:r>
          </w:p>
        </w:tc>
        <w:tc>
          <w:tcPr>
            <w:tcW w:w="61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ind w:left="-105" w:leftChars="-50" w:right="-105" w:rightChars="-50"/>
              <w:jc w:val="center"/>
              <w:rPr>
                <w:rFonts w:ascii="Times New Roman" w:hAnsi="Times New Roman" w:cs="Times New Roman" w:eastAsiaTheme="majorEastAsia"/>
                <w:w w:val="95"/>
                <w:kern w:val="0"/>
                <w:sz w:val="20"/>
                <w:szCs w:val="20"/>
              </w:rPr>
            </w:pPr>
            <w:r>
              <w:rPr>
                <w:rFonts w:ascii="Times New Roman" w:hAnsi="Times New Roman" w:cs="Times New Roman" w:eastAsiaTheme="majorEastAsia"/>
                <w:w w:val="95"/>
                <w:kern w:val="0"/>
                <w:sz w:val="20"/>
                <w:szCs w:val="20"/>
              </w:rPr>
              <w:t>元/年·盒</w:t>
            </w:r>
          </w:p>
        </w:tc>
        <w:tc>
          <w:tcPr>
            <w:tcW w:w="61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65</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ind w:left="-73" w:leftChars="-35" w:right="-73" w:rightChars="-35"/>
              <w:jc w:val="center"/>
              <w:rPr>
                <w:rFonts w:hint="eastAsia" w:ascii="Times New Roman" w:hAnsi="Times New Roman" w:cs="Times New Roman" w:eastAsiaTheme="majorEastAsia"/>
                <w:kern w:val="0"/>
                <w:sz w:val="20"/>
                <w:szCs w:val="20"/>
                <w:lang w:eastAsia="zh-CN"/>
              </w:rPr>
            </w:pPr>
            <w:r>
              <w:rPr>
                <w:rFonts w:ascii="Times New Roman" w:hAnsi="Times New Roman" w:cs="Times New Roman" w:eastAsiaTheme="majorEastAsia"/>
                <w:kern w:val="0"/>
                <w:sz w:val="20"/>
                <w:szCs w:val="20"/>
              </w:rPr>
              <w:t>不足半年的按半年算，超过半年不足一年的按一年计算</w:t>
            </w:r>
            <w:r>
              <w:rPr>
                <w:rFonts w:hint="eastAsia" w:ascii="Times New Roman" w:hAnsi="Times New Roman" w:cs="Times New Roman" w:eastAsiaTheme="majorEastAsia"/>
                <w:kern w:val="0"/>
                <w:sz w:val="20"/>
                <w:szCs w:val="20"/>
                <w:lang w:eastAsia="zh-CN"/>
              </w:rPr>
              <w:t>。</w:t>
            </w:r>
          </w:p>
        </w:tc>
      </w:tr>
    </w:tbl>
    <w:p>
      <w:pPr>
        <w:spacing w:line="380" w:lineRule="exact"/>
        <w:ind w:firstLine="480" w:firstLineChars="200"/>
        <w:rPr>
          <w:rFonts w:ascii="Times New Roman" w:hAnsi="Times New Roman" w:eastAsia="楷体_GB2312" w:cs="Times New Roman"/>
          <w:sz w:val="24"/>
        </w:rPr>
        <w:sectPr>
          <w:pgSz w:w="5954" w:h="10490"/>
          <w:pgMar w:top="680" w:right="567" w:bottom="680" w:left="567" w:header="567" w:footer="454" w:gutter="0"/>
          <w:cols w:space="425" w:num="1"/>
          <w:docGrid w:linePitch="312" w:charSpace="0"/>
        </w:sectPr>
      </w:pPr>
    </w:p>
    <w:tbl>
      <w:tblPr>
        <w:tblStyle w:val="11"/>
        <w:tblW w:w="46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1488" w:type="pct"/>
            <w:shd w:val="clear" w:color="000000" w:fill="FFFFFF"/>
            <w:vAlign w:val="center"/>
          </w:tcPr>
          <w:p>
            <w:pPr>
              <w:widowControl/>
              <w:jc w:val="center"/>
              <w:rPr>
                <w:rFonts w:hint="eastAsia" w:ascii="Times New Roman" w:hAnsi="Times New Roman" w:cs="Times New Roman" w:eastAsiaTheme="majorEastAsia"/>
                <w:kern w:val="0"/>
                <w:sz w:val="20"/>
                <w:szCs w:val="20"/>
                <w:lang w:eastAsia="zh-CN"/>
              </w:rPr>
            </w:pPr>
            <w:r>
              <w:rPr>
                <w:rFonts w:hint="eastAsia" w:ascii="Times New Roman" w:hAnsi="Times New Roman" w:cs="Times New Roman" w:eastAsiaTheme="majorEastAsia"/>
                <w:b/>
                <w:kern w:val="0"/>
                <w:sz w:val="20"/>
                <w:szCs w:val="20"/>
                <w:lang w:val="en-US" w:eastAsia="zh-CN"/>
              </w:rPr>
              <w:t>5、</w:t>
            </w:r>
            <w:r>
              <w:rPr>
                <w:rFonts w:hint="eastAsia" w:ascii="Times New Roman" w:hAnsi="Times New Roman" w:cs="Times New Roman" w:eastAsiaTheme="majorEastAsia"/>
                <w:b/>
                <w:kern w:val="0"/>
                <w:sz w:val="20"/>
                <w:szCs w:val="20"/>
                <w:lang w:eastAsia="zh-CN"/>
              </w:rPr>
              <w:t>公墓管理维护费</w:t>
            </w:r>
          </w:p>
        </w:tc>
        <w:tc>
          <w:tcPr>
            <w:tcW w:w="3512" w:type="pct"/>
            <w:shd w:val="clear" w:color="000000" w:fill="FFFFFF"/>
            <w:vAlign w:val="center"/>
          </w:tcPr>
          <w:p>
            <w:pPr>
              <w:widowControl/>
              <w:jc w:val="left"/>
              <w:rPr>
                <w:rFonts w:ascii="Times New Roman" w:hAnsi="Times New Roman" w:cs="Times New Roman" w:eastAsiaTheme="majorEastAsia"/>
                <w:kern w:val="0"/>
                <w:sz w:val="20"/>
                <w:szCs w:val="20"/>
              </w:rPr>
            </w:pPr>
            <w:r>
              <w:rPr>
                <w:rFonts w:hint="eastAsia" w:ascii="Times New Roman" w:hAnsi="Times New Roman" w:cs="Times New Roman" w:eastAsiaTheme="majorEastAsia"/>
                <w:kern w:val="0"/>
                <w:sz w:val="20"/>
                <w:szCs w:val="20"/>
              </w:rPr>
              <w:t>公墓维护管理费合同期满，用户申请继续使用的，泰安城区内公墓维护管理费按开具的墓（格）位发票价格收取：售价2万元（含）以下的墓（格）位每年100元；售价2至5万元（含）以上的墓（格）位每年190元；售价5万元以上的墓（格）位每年280元。上述标准为最高标准。</w:t>
            </w:r>
          </w:p>
        </w:tc>
      </w:tr>
    </w:tbl>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p>
    <w:p>
      <w:pPr>
        <w:spacing w:line="320" w:lineRule="exact"/>
        <w:rPr>
          <w:rFonts w:ascii="Times New Roman" w:hAnsi="Times New Roman" w:eastAsia="黑体" w:cs="Times New Roman"/>
          <w:sz w:val="24"/>
        </w:rPr>
      </w:pPr>
      <w:r>
        <w:rPr>
          <w:rFonts w:ascii="Times New Roman" w:hAnsi="Times New Roman" w:eastAsia="黑体" w:cs="Times New Roman"/>
          <w:sz w:val="24"/>
        </w:rPr>
        <w:t>八、城市生活垃圾处理费</w:t>
      </w:r>
    </w:p>
    <w:p>
      <w:pPr>
        <w:spacing w:line="120" w:lineRule="exact"/>
        <w:rPr>
          <w:rFonts w:ascii="Times New Roman" w:hAnsi="Times New Roman" w:eastAsia="方正小标宋_GBK" w:cs="Times New Roman"/>
          <w:sz w:val="30"/>
          <w:szCs w:val="30"/>
        </w:rPr>
      </w:pPr>
    </w:p>
    <w:p>
      <w:pPr>
        <w:spacing w:line="320" w:lineRule="exact"/>
        <w:jc w:val="center"/>
        <w:rPr>
          <w:rFonts w:ascii="宋体" w:hAnsi="宋体" w:cs="Times New Roman"/>
          <w:sz w:val="24"/>
        </w:rPr>
      </w:pPr>
      <w:r>
        <w:rPr>
          <w:rFonts w:ascii="宋体" w:hAnsi="宋体" w:cs="Times New Roman"/>
          <w:sz w:val="24"/>
        </w:rPr>
        <w:t>城市生活垃圾处理费收费标准</w:t>
      </w:r>
    </w:p>
    <w:tbl>
      <w:tblPr>
        <w:tblStyle w:val="11"/>
        <w:tblW w:w="5000" w:type="pct"/>
        <w:tblInd w:w="0" w:type="dxa"/>
        <w:tblLayout w:type="autofit"/>
        <w:tblCellMar>
          <w:top w:w="0" w:type="dxa"/>
          <w:left w:w="108" w:type="dxa"/>
          <w:bottom w:w="0" w:type="dxa"/>
          <w:right w:w="108" w:type="dxa"/>
        </w:tblCellMar>
      </w:tblPr>
      <w:tblGrid>
        <w:gridCol w:w="353"/>
        <w:gridCol w:w="2541"/>
        <w:gridCol w:w="1106"/>
        <w:gridCol w:w="1036"/>
      </w:tblGrid>
      <w:tr>
        <w:tblPrEx>
          <w:tblCellMar>
            <w:top w:w="0" w:type="dxa"/>
            <w:left w:w="108" w:type="dxa"/>
            <w:bottom w:w="0" w:type="dxa"/>
            <w:right w:w="108" w:type="dxa"/>
          </w:tblCellMar>
        </w:tblPrEx>
        <w:trPr>
          <w:trHeight w:val="568" w:hRule="atLeast"/>
        </w:trPr>
        <w:tc>
          <w:tcPr>
            <w:tcW w:w="28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城市生活垃圾处理费</w:t>
            </w:r>
          </w:p>
        </w:tc>
        <w:tc>
          <w:tcPr>
            <w:tcW w:w="1098" w:type="pct"/>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计费单位</w:t>
            </w:r>
          </w:p>
        </w:tc>
        <w:tc>
          <w:tcPr>
            <w:tcW w:w="1029" w:type="pct"/>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收费标准（元）</w:t>
            </w:r>
          </w:p>
        </w:tc>
      </w:tr>
      <w:tr>
        <w:tblPrEx>
          <w:tblCellMar>
            <w:top w:w="0" w:type="dxa"/>
            <w:left w:w="108" w:type="dxa"/>
            <w:bottom w:w="0" w:type="dxa"/>
            <w:right w:w="108" w:type="dxa"/>
          </w:tblCellMar>
        </w:tblPrEx>
        <w:trPr>
          <w:trHeight w:val="794" w:hRule="atLeast"/>
        </w:trPr>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2523"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居民</w:t>
            </w:r>
          </w:p>
        </w:tc>
        <w:tc>
          <w:tcPr>
            <w:tcW w:w="10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元/月</w:t>
            </w:r>
          </w:p>
        </w:tc>
        <w:tc>
          <w:tcPr>
            <w:tcW w:w="102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5</w:t>
            </w:r>
          </w:p>
        </w:tc>
      </w:tr>
      <w:tr>
        <w:tblPrEx>
          <w:tblCellMar>
            <w:top w:w="0" w:type="dxa"/>
            <w:left w:w="108" w:type="dxa"/>
            <w:bottom w:w="0" w:type="dxa"/>
            <w:right w:w="108" w:type="dxa"/>
          </w:tblCellMar>
        </w:tblPrEx>
        <w:trPr>
          <w:trHeight w:val="794" w:hRule="atLeast"/>
        </w:trPr>
        <w:tc>
          <w:tcPr>
            <w:tcW w:w="35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2</w:t>
            </w:r>
          </w:p>
        </w:tc>
        <w:tc>
          <w:tcPr>
            <w:tcW w:w="2523"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旅店业（包括宾馆、饭店、旅馆、中心及招待所）</w:t>
            </w:r>
          </w:p>
        </w:tc>
        <w:tc>
          <w:tcPr>
            <w:tcW w:w="10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元/床</w:t>
            </w:r>
          </w:p>
        </w:tc>
        <w:tc>
          <w:tcPr>
            <w:tcW w:w="102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2</w:t>
            </w:r>
          </w:p>
        </w:tc>
      </w:tr>
      <w:tr>
        <w:tblPrEx>
          <w:tblCellMar>
            <w:top w:w="0" w:type="dxa"/>
            <w:left w:w="108" w:type="dxa"/>
            <w:bottom w:w="0" w:type="dxa"/>
            <w:right w:w="108" w:type="dxa"/>
          </w:tblCellMar>
        </w:tblPrEx>
        <w:trPr>
          <w:trHeight w:val="794" w:hRule="atLeast"/>
        </w:trPr>
        <w:tc>
          <w:tcPr>
            <w:tcW w:w="35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3</w:t>
            </w:r>
          </w:p>
        </w:tc>
        <w:tc>
          <w:tcPr>
            <w:tcW w:w="2523"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餐饮业</w:t>
            </w:r>
          </w:p>
        </w:tc>
        <w:tc>
          <w:tcPr>
            <w:tcW w:w="10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元/平米月</w:t>
            </w:r>
          </w:p>
        </w:tc>
        <w:tc>
          <w:tcPr>
            <w:tcW w:w="102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0.2</w:t>
            </w:r>
          </w:p>
        </w:tc>
      </w:tr>
      <w:tr>
        <w:tblPrEx>
          <w:tblCellMar>
            <w:top w:w="0" w:type="dxa"/>
            <w:left w:w="108" w:type="dxa"/>
            <w:bottom w:w="0" w:type="dxa"/>
            <w:right w:w="108" w:type="dxa"/>
          </w:tblCellMar>
        </w:tblPrEx>
        <w:trPr>
          <w:trHeight w:val="794" w:hRule="atLeast"/>
        </w:trPr>
        <w:tc>
          <w:tcPr>
            <w:tcW w:w="35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4</w:t>
            </w:r>
          </w:p>
        </w:tc>
        <w:tc>
          <w:tcPr>
            <w:tcW w:w="2523"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机关、其他企事业单位（含个体工商户）、社会团体</w:t>
            </w:r>
          </w:p>
        </w:tc>
        <w:tc>
          <w:tcPr>
            <w:tcW w:w="10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元/月</w:t>
            </w:r>
          </w:p>
        </w:tc>
        <w:tc>
          <w:tcPr>
            <w:tcW w:w="102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2</w:t>
            </w:r>
          </w:p>
        </w:tc>
      </w:tr>
      <w:tr>
        <w:tblPrEx>
          <w:tblCellMar>
            <w:top w:w="0" w:type="dxa"/>
            <w:left w:w="108" w:type="dxa"/>
            <w:bottom w:w="0" w:type="dxa"/>
            <w:right w:w="108" w:type="dxa"/>
          </w:tblCellMar>
        </w:tblPrEx>
        <w:trPr>
          <w:trHeight w:val="794" w:hRule="atLeast"/>
        </w:trPr>
        <w:tc>
          <w:tcPr>
            <w:tcW w:w="35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5</w:t>
            </w:r>
          </w:p>
        </w:tc>
        <w:tc>
          <w:tcPr>
            <w:tcW w:w="2523"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集贸市场和其他单位</w:t>
            </w:r>
          </w:p>
        </w:tc>
        <w:tc>
          <w:tcPr>
            <w:tcW w:w="10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元/摊位日</w:t>
            </w:r>
          </w:p>
        </w:tc>
        <w:tc>
          <w:tcPr>
            <w:tcW w:w="102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r>
    </w:tbl>
    <w:p>
      <w:pPr>
        <w:widowControl/>
        <w:rPr>
          <w:rFonts w:ascii="Times New Roman" w:hAnsi="Times New Roman" w:cs="Times New Roman"/>
          <w:kern w:val="0"/>
          <w:sz w:val="20"/>
          <w:szCs w:val="20"/>
        </w:rPr>
      </w:pPr>
    </w:p>
    <w:p>
      <w:pPr>
        <w:widowControl/>
        <w:rPr>
          <w:rFonts w:ascii="仿宋_GB2312" w:hAnsi="Times New Roman" w:eastAsia="仿宋_GB2312" w:cs="Times New Roman"/>
          <w:szCs w:val="21"/>
        </w:rPr>
        <w:sectPr>
          <w:pgSz w:w="5954" w:h="10490"/>
          <w:pgMar w:top="680" w:right="567" w:bottom="680" w:left="567" w:header="567" w:footer="454" w:gutter="0"/>
          <w:cols w:space="425" w:num="1"/>
          <w:docGrid w:linePitch="312" w:charSpace="0"/>
        </w:sectPr>
      </w:pPr>
      <w:r>
        <w:rPr>
          <w:rFonts w:hint="eastAsia" w:ascii="Times New Roman" w:hAnsi="Times New Roman" w:cs="Times New Roman"/>
          <w:kern w:val="0"/>
          <w:sz w:val="20"/>
          <w:szCs w:val="20"/>
        </w:rPr>
        <w:t xml:space="preserve">   </w:t>
      </w:r>
    </w:p>
    <w:p>
      <w:pPr>
        <w:spacing w:line="320" w:lineRule="exact"/>
        <w:rPr>
          <w:rFonts w:ascii="Times New Roman" w:hAnsi="Times New Roman" w:eastAsia="黑体" w:cs="Times New Roman"/>
          <w:sz w:val="24"/>
        </w:rPr>
      </w:pPr>
      <w:r>
        <w:rPr>
          <w:rFonts w:ascii="Times New Roman" w:hAnsi="Times New Roman" w:eastAsia="黑体" w:cs="Times New Roman"/>
          <w:sz w:val="24"/>
        </w:rPr>
        <w:t>九、其他收费</w:t>
      </w:r>
    </w:p>
    <w:p>
      <w:pPr>
        <w:spacing w:line="120" w:lineRule="exact"/>
        <w:rPr>
          <w:rFonts w:ascii="Times New Roman" w:hAnsi="Times New Roman" w:eastAsia="黑体" w:cs="Times New Roman"/>
          <w:sz w:val="24"/>
        </w:rPr>
      </w:pPr>
    </w:p>
    <w:tbl>
      <w:tblPr>
        <w:tblStyle w:val="11"/>
        <w:tblW w:w="46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488" w:type="pct"/>
            <w:shd w:val="clear" w:color="000000" w:fill="FFFFFF"/>
            <w:vAlign w:val="center"/>
          </w:tcPr>
          <w:p>
            <w:pPr>
              <w:widowControl/>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养犬管理</w:t>
            </w:r>
          </w:p>
          <w:p>
            <w:pPr>
              <w:widowControl/>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服务费</w:t>
            </w:r>
          </w:p>
        </w:tc>
        <w:tc>
          <w:tcPr>
            <w:tcW w:w="3512" w:type="pct"/>
            <w:shd w:val="clear" w:color="000000" w:fill="FFFFFF"/>
            <w:vAlign w:val="center"/>
          </w:tcPr>
          <w:p>
            <w:pPr>
              <w:widowControl/>
              <w:jc w:val="left"/>
              <w:rPr>
                <w:rFonts w:ascii="Times New Roman" w:hAnsi="Times New Roman" w:cs="Times New Roman" w:eastAsiaTheme="majorEastAsia"/>
                <w:kern w:val="0"/>
                <w:sz w:val="20"/>
                <w:szCs w:val="20"/>
              </w:rPr>
            </w:pPr>
            <w:r>
              <w:rPr>
                <w:rFonts w:hint="eastAsia" w:ascii="Times New Roman" w:hAnsi="Times New Roman" w:cs="Times New Roman" w:eastAsiaTheme="majorEastAsia"/>
                <w:kern w:val="0"/>
                <w:sz w:val="20"/>
                <w:szCs w:val="20"/>
              </w:rPr>
              <w:t>初次登记收费350元/只。</w:t>
            </w:r>
          </w:p>
          <w:p>
            <w:pPr>
              <w:widowControl/>
              <w:jc w:val="left"/>
              <w:rPr>
                <w:rFonts w:ascii="Times New Roman" w:hAnsi="Times New Roman" w:cs="Times New Roman" w:eastAsiaTheme="majorEastAsia"/>
                <w:kern w:val="0"/>
                <w:sz w:val="20"/>
                <w:szCs w:val="20"/>
              </w:rPr>
            </w:pPr>
            <w:r>
              <w:rPr>
                <w:rFonts w:hint="eastAsia" w:ascii="Times New Roman" w:hAnsi="Times New Roman" w:cs="Times New Roman" w:eastAsiaTheme="majorEastAsia"/>
                <w:kern w:val="0"/>
                <w:sz w:val="20"/>
                <w:szCs w:val="20"/>
              </w:rPr>
              <w:t>以后每年签注收费150元/只。</w:t>
            </w:r>
          </w:p>
          <w:p>
            <w:pPr>
              <w:widowControl/>
              <w:jc w:val="left"/>
              <w:rPr>
                <w:rFonts w:ascii="Times New Roman" w:hAnsi="Times New Roman" w:cs="Times New Roman" w:eastAsiaTheme="majorEastAsia"/>
                <w:kern w:val="0"/>
                <w:sz w:val="20"/>
                <w:szCs w:val="20"/>
              </w:rPr>
            </w:pPr>
            <w:r>
              <w:rPr>
                <w:rFonts w:hint="eastAsia" w:ascii="Times New Roman" w:hAnsi="Times New Roman" w:cs="Times New Roman" w:eastAsiaTheme="majorEastAsia"/>
                <w:kern w:val="0"/>
                <w:sz w:val="20"/>
                <w:szCs w:val="20"/>
              </w:rPr>
              <w:t>补办犬牌100元/个（电子犬牌）；补办养犬登记证5元/个；补植电子标识40元/个（含注射费）。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1488" w:type="pct"/>
            <w:shd w:val="clear" w:color="000000" w:fill="FFFFFF"/>
            <w:vAlign w:val="center"/>
          </w:tcPr>
          <w:p>
            <w:pPr>
              <w:widowControl/>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老年大学</w:t>
            </w:r>
          </w:p>
          <w:p>
            <w:pPr>
              <w:widowControl/>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学费</w:t>
            </w:r>
          </w:p>
        </w:tc>
        <w:tc>
          <w:tcPr>
            <w:tcW w:w="3512" w:type="pct"/>
            <w:shd w:val="clear" w:color="000000" w:fill="FFFFFF"/>
            <w:vAlign w:val="center"/>
          </w:tcPr>
          <w:p>
            <w:pPr>
              <w:widowControl/>
              <w:jc w:val="left"/>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保健、国画、书法、文学、声乐、戏曲、外语、摄影、舞蹈以及生活等10类专业每人每学期不超过150元；表演专业每人每学期不超过200元；计算机专业每人每学期不超过240元；器乐专业（电子琴、古筝、手风琴）每人每学期不超过260元；钢琴等特殊专业每人每学期不超过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488" w:type="pct"/>
            <w:shd w:val="clear" w:color="000000" w:fill="FFFFFF"/>
            <w:vAlign w:val="center"/>
          </w:tcPr>
          <w:p>
            <w:pPr>
              <w:widowControl/>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居民有线数字电视基本收视维护费</w:t>
            </w:r>
          </w:p>
        </w:tc>
        <w:tc>
          <w:tcPr>
            <w:tcW w:w="3512" w:type="pct"/>
            <w:shd w:val="clear" w:color="000000" w:fill="FFFFFF"/>
            <w:vAlign w:val="center"/>
          </w:tcPr>
          <w:p>
            <w:pPr>
              <w:widowControl/>
              <w:jc w:val="center"/>
              <w:rPr>
                <w:rFonts w:ascii="Times New Roman" w:hAnsi="Times New Roman" w:cs="Times New Roman" w:eastAsiaTheme="majorEastAsia"/>
                <w:kern w:val="0"/>
                <w:sz w:val="20"/>
                <w:szCs w:val="20"/>
              </w:rPr>
            </w:pPr>
            <w:r>
              <w:rPr>
                <w:rFonts w:ascii="Times New Roman" w:hAnsi="Times New Roman" w:cs="Times New Roman" w:eastAsiaTheme="majorEastAsia"/>
                <w:kern w:val="0"/>
                <w:sz w:val="20"/>
                <w:szCs w:val="20"/>
              </w:rPr>
              <w:t>26元/月</w:t>
            </w:r>
          </w:p>
        </w:tc>
      </w:tr>
    </w:tbl>
    <w:p>
      <w:pPr>
        <w:spacing w:line="560" w:lineRule="exact"/>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mc:AlternateContent>
          <mc:Choice Requires="wps">
            <w:drawing>
              <wp:anchor distT="0" distB="0" distL="114300" distR="114300" simplePos="0" relativeHeight="251661312" behindDoc="0" locked="0" layoutInCell="1" allowOverlap="1">
                <wp:simplePos x="0" y="0"/>
                <wp:positionH relativeFrom="column">
                  <wp:posOffset>1171575</wp:posOffset>
                </wp:positionH>
                <wp:positionV relativeFrom="paragraph">
                  <wp:posOffset>2375535</wp:posOffset>
                </wp:positionV>
                <wp:extent cx="411480" cy="251460"/>
                <wp:effectExtent l="9525" t="13335" r="7620" b="11430"/>
                <wp:wrapNone/>
                <wp:docPr id="2" name="Rectangle 23"/>
                <wp:cNvGraphicFramePr/>
                <a:graphic xmlns:a="http://schemas.openxmlformats.org/drawingml/2006/main">
                  <a:graphicData uri="http://schemas.microsoft.com/office/word/2010/wordprocessingShape">
                    <wps:wsp>
                      <wps:cNvSpPr>
                        <a:spLocks noChangeArrowheads="1"/>
                      </wps:cNvSpPr>
                      <wps:spPr bwMode="auto">
                        <a:xfrm>
                          <a:off x="0" y="0"/>
                          <a:ext cx="411480" cy="251460"/>
                        </a:xfrm>
                        <a:prstGeom prst="rect">
                          <a:avLst/>
                        </a:prstGeom>
                        <a:solidFill>
                          <a:srgbClr val="FFFFFF"/>
                        </a:solidFill>
                        <a:ln w="9525">
                          <a:solidFill>
                            <a:schemeClr val="bg1">
                              <a:lumMod val="100000"/>
                              <a:lumOff val="0"/>
                            </a:schemeClr>
                          </a:solidFill>
                          <a:miter lim="800000"/>
                        </a:ln>
                      </wps:spPr>
                      <wps:txbx>
                        <w:txbxContent>
                          <w:p>
                            <w:pPr>
                              <w:rPr>
                                <w:sz w:val="18"/>
                                <w:szCs w:val="18"/>
                              </w:rPr>
                            </w:pPr>
                            <w:r>
                              <w:rPr>
                                <w:rFonts w:hint="eastAsia"/>
                                <w:sz w:val="18"/>
                                <w:szCs w:val="18"/>
                              </w:rPr>
                              <w:t>.16.</w:t>
                            </w:r>
                          </w:p>
                        </w:txbxContent>
                      </wps:txbx>
                      <wps:bodyPr rot="0" vert="horz" wrap="square" lIns="91440" tIns="45720" rIns="91440" bIns="45720" anchor="t" anchorCtr="0" upright="1">
                        <a:noAutofit/>
                      </wps:bodyPr>
                    </wps:wsp>
                  </a:graphicData>
                </a:graphic>
              </wp:anchor>
            </w:drawing>
          </mc:Choice>
          <mc:Fallback>
            <w:pict>
              <v:rect id="Rectangle 23" o:spid="_x0000_s1026" o:spt="1" style="position:absolute;left:0pt;margin-left:92.25pt;margin-top:187.05pt;height:19.8pt;width:32.4pt;z-index:251661312;mso-width-relative:page;mso-height-relative:page;" fillcolor="#FFFFFF" filled="t" stroked="t" coordsize="21600,21600" o:gfxdata="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qxTg/ZAAAACwEAAA8AAAAAAAAAAQAg&#10;AAAAIgAAAGRycy9kb3ducmV2LnhtbFBLAQIUABQAAAAIAIdO4kA81Xk6RgIAALMEAAAOAAAAAAAA&#10;AAEAIAAAACgBAABkcnMvZTJvRG9jLnhtbFBLBQYAAAAABgAGAFkBAADgBQAAAAA=&#10;">
                <v:fill on="t" focussize="0,0"/>
                <v:stroke color="#FFFFFF [3228]" miterlimit="8" joinstyle="miter"/>
                <v:imagedata o:title=""/>
                <o:lock v:ext="edit" aspectratio="f"/>
                <v:textbox>
                  <w:txbxContent>
                    <w:p>
                      <w:pPr>
                        <w:rPr>
                          <w:sz w:val="18"/>
                          <w:szCs w:val="18"/>
                        </w:rPr>
                      </w:pPr>
                      <w:r>
                        <w:rPr>
                          <w:rFonts w:hint="eastAsia"/>
                          <w:sz w:val="18"/>
                          <w:szCs w:val="18"/>
                        </w:rPr>
                        <w:t>.16.</w:t>
                      </w:r>
                    </w:p>
                  </w:txbxContent>
                </v:textbox>
              </v:rect>
            </w:pict>
          </mc:Fallback>
        </mc:AlternateContent>
      </w:r>
      <w:r>
        <w:rPr>
          <w:rFonts w:ascii="Times New Roman" w:hAnsi="Times New Roman" w:eastAsia="方正小标宋简体" w:cs="Times New Roman"/>
          <w:sz w:val="44"/>
          <w:szCs w:val="44"/>
        </w:rPr>
        <mc:AlternateContent>
          <mc:Choice Requires="wps">
            <w:drawing>
              <wp:anchor distT="0" distB="0" distL="114300" distR="114300" simplePos="0" relativeHeight="251660288" behindDoc="0" locked="0" layoutInCell="1" allowOverlap="1">
                <wp:simplePos x="0" y="0"/>
                <wp:positionH relativeFrom="column">
                  <wp:posOffset>1278255</wp:posOffset>
                </wp:positionH>
                <wp:positionV relativeFrom="paragraph">
                  <wp:posOffset>2830195</wp:posOffset>
                </wp:positionV>
                <wp:extent cx="411480" cy="251460"/>
                <wp:effectExtent l="11430" t="10795" r="5715" b="13970"/>
                <wp:wrapNone/>
                <wp:docPr id="1" name="Rectangle 21"/>
                <wp:cNvGraphicFramePr/>
                <a:graphic xmlns:a="http://schemas.openxmlformats.org/drawingml/2006/main">
                  <a:graphicData uri="http://schemas.microsoft.com/office/word/2010/wordprocessingShape">
                    <wps:wsp>
                      <wps:cNvSpPr>
                        <a:spLocks noChangeArrowheads="1"/>
                      </wps:cNvSpPr>
                      <wps:spPr bwMode="auto">
                        <a:xfrm>
                          <a:off x="0" y="0"/>
                          <a:ext cx="411480" cy="251460"/>
                        </a:xfrm>
                        <a:prstGeom prst="rect">
                          <a:avLst/>
                        </a:prstGeom>
                        <a:solidFill>
                          <a:srgbClr val="FFFFFF"/>
                        </a:solidFill>
                        <a:ln w="9525">
                          <a:solidFill>
                            <a:schemeClr val="bg1">
                              <a:lumMod val="100000"/>
                              <a:lumOff val="0"/>
                            </a:schemeClr>
                          </a:solidFill>
                          <a:miter lim="800000"/>
                        </a:ln>
                      </wps:spPr>
                      <wps:txbx>
                        <w:txbxContent>
                          <w:p>
                            <w:pPr>
                              <w:rPr>
                                <w:sz w:val="18"/>
                                <w:szCs w:val="18"/>
                              </w:rPr>
                            </w:pPr>
                            <w:r>
                              <w:rPr>
                                <w:rFonts w:hint="eastAsia"/>
                                <w:sz w:val="18"/>
                                <w:szCs w:val="18"/>
                              </w:rPr>
                              <w:t>.16.</w:t>
                            </w:r>
                          </w:p>
                        </w:txbxContent>
                      </wps:txbx>
                      <wps:bodyPr rot="0" vert="horz" wrap="square" lIns="91440" tIns="45720" rIns="91440" bIns="45720" anchor="t" anchorCtr="0" upright="1">
                        <a:noAutofit/>
                      </wps:bodyPr>
                    </wps:wsp>
                  </a:graphicData>
                </a:graphic>
              </wp:anchor>
            </w:drawing>
          </mc:Choice>
          <mc:Fallback>
            <w:pict>
              <v:rect id="Rectangle 21" o:spid="_x0000_s1026" o:spt="1" style="position:absolute;left:0pt;margin-left:100.65pt;margin-top:222.85pt;height:19.8pt;width:32.4pt;z-index:251660288;mso-width-relative:page;mso-height-relative:page;" fillcolor="#FFFFFF" filled="t" stroked="t" coordsize="21600,21600" o:gfxdata="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Bfnl/ZAAAACwEAAA8AAAAAAAAAAQAgAAAA&#10;IgAAAGRycy9kb3ducmV2LnhtbFBLAQIUABQAAAAIAIdO4kBfHgY9QwIAALMEAAAOAAAAAAAAAAEA&#10;IAAAACgBAABkcnMvZTJvRG9jLnhtbFBLBQYAAAAABgAGAFkBAADdBQAAAAA=&#10;">
                <v:fill on="t" focussize="0,0"/>
                <v:stroke color="#FFFFFF [3228]" miterlimit="8" joinstyle="miter"/>
                <v:imagedata o:title=""/>
                <o:lock v:ext="edit" aspectratio="f"/>
                <v:textbox>
                  <w:txbxContent>
                    <w:p>
                      <w:pPr>
                        <w:rPr>
                          <w:sz w:val="18"/>
                          <w:szCs w:val="18"/>
                        </w:rPr>
                      </w:pPr>
                      <w:r>
                        <w:rPr>
                          <w:rFonts w:hint="eastAsia"/>
                          <w:sz w:val="18"/>
                          <w:szCs w:val="18"/>
                        </w:rPr>
                        <w:t>.16.</w:t>
                      </w:r>
                    </w:p>
                  </w:txbxContent>
                </v:textbox>
              </v:rect>
            </w:pict>
          </mc:Fallback>
        </mc:AlternateContent>
      </w:r>
    </w:p>
    <w:sectPr>
      <w:pgSz w:w="5954" w:h="10490"/>
      <w:pgMar w:top="680" w:right="567" w:bottom="680" w:left="567" w:header="567" w:footer="45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方正小标宋简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NDRiYmI5ZGQ0MTUxMmY5MjJkM2U1MjJkMmUwYmYifQ=="/>
  </w:docVars>
  <w:rsids>
    <w:rsidRoot w:val="00F324E0"/>
    <w:rsid w:val="00004360"/>
    <w:rsid w:val="00005022"/>
    <w:rsid w:val="00005DDF"/>
    <w:rsid w:val="000106CB"/>
    <w:rsid w:val="00012879"/>
    <w:rsid w:val="000171EC"/>
    <w:rsid w:val="0002464E"/>
    <w:rsid w:val="000349B1"/>
    <w:rsid w:val="0003727D"/>
    <w:rsid w:val="00046360"/>
    <w:rsid w:val="00051C3B"/>
    <w:rsid w:val="00064F6F"/>
    <w:rsid w:val="000657E5"/>
    <w:rsid w:val="000666FD"/>
    <w:rsid w:val="00066DFB"/>
    <w:rsid w:val="00080AE4"/>
    <w:rsid w:val="00080F61"/>
    <w:rsid w:val="00090C64"/>
    <w:rsid w:val="000A529D"/>
    <w:rsid w:val="000A7CC0"/>
    <w:rsid w:val="000B1C4A"/>
    <w:rsid w:val="000B6A2C"/>
    <w:rsid w:val="000C3159"/>
    <w:rsid w:val="000D1CC4"/>
    <w:rsid w:val="000E2771"/>
    <w:rsid w:val="000E687F"/>
    <w:rsid w:val="000E7EB5"/>
    <w:rsid w:val="000F1317"/>
    <w:rsid w:val="000F6995"/>
    <w:rsid w:val="000F71F2"/>
    <w:rsid w:val="0010143F"/>
    <w:rsid w:val="001040F3"/>
    <w:rsid w:val="00104171"/>
    <w:rsid w:val="00116DE2"/>
    <w:rsid w:val="0013732A"/>
    <w:rsid w:val="00146438"/>
    <w:rsid w:val="00150BA2"/>
    <w:rsid w:val="00150C2E"/>
    <w:rsid w:val="00151C5D"/>
    <w:rsid w:val="00156019"/>
    <w:rsid w:val="00161284"/>
    <w:rsid w:val="00161F0A"/>
    <w:rsid w:val="0017460E"/>
    <w:rsid w:val="0018037A"/>
    <w:rsid w:val="001810FB"/>
    <w:rsid w:val="00186BDF"/>
    <w:rsid w:val="001873B8"/>
    <w:rsid w:val="00193C2B"/>
    <w:rsid w:val="00197920"/>
    <w:rsid w:val="001A4AF4"/>
    <w:rsid w:val="001B30BA"/>
    <w:rsid w:val="001B61AA"/>
    <w:rsid w:val="001B6929"/>
    <w:rsid w:val="001B7070"/>
    <w:rsid w:val="001C1B21"/>
    <w:rsid w:val="001C20DC"/>
    <w:rsid w:val="001C3809"/>
    <w:rsid w:val="001D0EB0"/>
    <w:rsid w:val="001D148B"/>
    <w:rsid w:val="001D2C81"/>
    <w:rsid w:val="001D3C4C"/>
    <w:rsid w:val="001D3EFD"/>
    <w:rsid w:val="001D4568"/>
    <w:rsid w:val="001D51BD"/>
    <w:rsid w:val="001E0B4D"/>
    <w:rsid w:val="001E10F9"/>
    <w:rsid w:val="001E1737"/>
    <w:rsid w:val="001E37E6"/>
    <w:rsid w:val="001F0D5E"/>
    <w:rsid w:val="001F1C75"/>
    <w:rsid w:val="0020017A"/>
    <w:rsid w:val="00204F15"/>
    <w:rsid w:val="002078A0"/>
    <w:rsid w:val="00213570"/>
    <w:rsid w:val="002163DD"/>
    <w:rsid w:val="00222E6B"/>
    <w:rsid w:val="0022554D"/>
    <w:rsid w:val="00234C5F"/>
    <w:rsid w:val="002375E8"/>
    <w:rsid w:val="002447A0"/>
    <w:rsid w:val="002458FD"/>
    <w:rsid w:val="00247574"/>
    <w:rsid w:val="002502C8"/>
    <w:rsid w:val="00253FF0"/>
    <w:rsid w:val="002559E9"/>
    <w:rsid w:val="00267CAE"/>
    <w:rsid w:val="002742E5"/>
    <w:rsid w:val="00277644"/>
    <w:rsid w:val="00283135"/>
    <w:rsid w:val="00292BD3"/>
    <w:rsid w:val="0029609A"/>
    <w:rsid w:val="00296AD6"/>
    <w:rsid w:val="002A3A73"/>
    <w:rsid w:val="002A5886"/>
    <w:rsid w:val="002C511D"/>
    <w:rsid w:val="002D22FB"/>
    <w:rsid w:val="002D44F4"/>
    <w:rsid w:val="002E299A"/>
    <w:rsid w:val="002E59B0"/>
    <w:rsid w:val="002F0D1D"/>
    <w:rsid w:val="002F116E"/>
    <w:rsid w:val="002F62BE"/>
    <w:rsid w:val="00301B59"/>
    <w:rsid w:val="003062E3"/>
    <w:rsid w:val="00313463"/>
    <w:rsid w:val="00316714"/>
    <w:rsid w:val="00326B75"/>
    <w:rsid w:val="00336F86"/>
    <w:rsid w:val="0034202A"/>
    <w:rsid w:val="0035072E"/>
    <w:rsid w:val="00352BB5"/>
    <w:rsid w:val="00353427"/>
    <w:rsid w:val="00356C28"/>
    <w:rsid w:val="003573E1"/>
    <w:rsid w:val="003577FD"/>
    <w:rsid w:val="00362379"/>
    <w:rsid w:val="0036249E"/>
    <w:rsid w:val="003624DD"/>
    <w:rsid w:val="003709F1"/>
    <w:rsid w:val="00373076"/>
    <w:rsid w:val="00380730"/>
    <w:rsid w:val="00380DA4"/>
    <w:rsid w:val="0038170A"/>
    <w:rsid w:val="00381AA2"/>
    <w:rsid w:val="00381DFD"/>
    <w:rsid w:val="00390B39"/>
    <w:rsid w:val="00397005"/>
    <w:rsid w:val="003A604F"/>
    <w:rsid w:val="003B01DB"/>
    <w:rsid w:val="003B38B0"/>
    <w:rsid w:val="003B4EB0"/>
    <w:rsid w:val="003B6104"/>
    <w:rsid w:val="003C6DBC"/>
    <w:rsid w:val="003E1683"/>
    <w:rsid w:val="003E1EDB"/>
    <w:rsid w:val="003E418F"/>
    <w:rsid w:val="003F2333"/>
    <w:rsid w:val="003F2B39"/>
    <w:rsid w:val="003F379E"/>
    <w:rsid w:val="0040727E"/>
    <w:rsid w:val="004102A7"/>
    <w:rsid w:val="00410CB2"/>
    <w:rsid w:val="004125DD"/>
    <w:rsid w:val="00421FD0"/>
    <w:rsid w:val="00432EA9"/>
    <w:rsid w:val="00441A14"/>
    <w:rsid w:val="00444929"/>
    <w:rsid w:val="0045226A"/>
    <w:rsid w:val="0045338C"/>
    <w:rsid w:val="004543D8"/>
    <w:rsid w:val="00464AE1"/>
    <w:rsid w:val="00467B11"/>
    <w:rsid w:val="004745DC"/>
    <w:rsid w:val="004776A6"/>
    <w:rsid w:val="00496154"/>
    <w:rsid w:val="004A0125"/>
    <w:rsid w:val="004A4D68"/>
    <w:rsid w:val="004B2D9F"/>
    <w:rsid w:val="004B44EB"/>
    <w:rsid w:val="004B7724"/>
    <w:rsid w:val="004C4A06"/>
    <w:rsid w:val="004C5D4E"/>
    <w:rsid w:val="004D2560"/>
    <w:rsid w:val="004D5ADA"/>
    <w:rsid w:val="004D63FF"/>
    <w:rsid w:val="004E0492"/>
    <w:rsid w:val="004E10C9"/>
    <w:rsid w:val="004E4940"/>
    <w:rsid w:val="005063BB"/>
    <w:rsid w:val="00506E79"/>
    <w:rsid w:val="00523FCD"/>
    <w:rsid w:val="00524CA5"/>
    <w:rsid w:val="0052557D"/>
    <w:rsid w:val="005307E4"/>
    <w:rsid w:val="005429D7"/>
    <w:rsid w:val="0054787F"/>
    <w:rsid w:val="005566D9"/>
    <w:rsid w:val="005573C5"/>
    <w:rsid w:val="005744AB"/>
    <w:rsid w:val="00576174"/>
    <w:rsid w:val="00577BF5"/>
    <w:rsid w:val="00585D5D"/>
    <w:rsid w:val="00586005"/>
    <w:rsid w:val="00591DC2"/>
    <w:rsid w:val="00594867"/>
    <w:rsid w:val="00596426"/>
    <w:rsid w:val="005B37F6"/>
    <w:rsid w:val="005B57B2"/>
    <w:rsid w:val="005C3A90"/>
    <w:rsid w:val="005C5A57"/>
    <w:rsid w:val="005C7D8B"/>
    <w:rsid w:val="005D13C8"/>
    <w:rsid w:val="005D6363"/>
    <w:rsid w:val="005E27B2"/>
    <w:rsid w:val="005E6614"/>
    <w:rsid w:val="00600291"/>
    <w:rsid w:val="00600D90"/>
    <w:rsid w:val="0061025A"/>
    <w:rsid w:val="00610EFA"/>
    <w:rsid w:val="0061238E"/>
    <w:rsid w:val="006125C3"/>
    <w:rsid w:val="00613BAC"/>
    <w:rsid w:val="00615A85"/>
    <w:rsid w:val="0062603E"/>
    <w:rsid w:val="00627200"/>
    <w:rsid w:val="00630EF7"/>
    <w:rsid w:val="00631774"/>
    <w:rsid w:val="0063184B"/>
    <w:rsid w:val="006478BD"/>
    <w:rsid w:val="00673884"/>
    <w:rsid w:val="006840D7"/>
    <w:rsid w:val="00685497"/>
    <w:rsid w:val="006915AA"/>
    <w:rsid w:val="006921A3"/>
    <w:rsid w:val="00694294"/>
    <w:rsid w:val="006A1DC6"/>
    <w:rsid w:val="006A337F"/>
    <w:rsid w:val="006A56B3"/>
    <w:rsid w:val="006B067A"/>
    <w:rsid w:val="006B3BF2"/>
    <w:rsid w:val="006C704D"/>
    <w:rsid w:val="006C7EC2"/>
    <w:rsid w:val="006D49E6"/>
    <w:rsid w:val="006D4D2C"/>
    <w:rsid w:val="006D58EE"/>
    <w:rsid w:val="006E1DFB"/>
    <w:rsid w:val="006E2184"/>
    <w:rsid w:val="006E2E88"/>
    <w:rsid w:val="006E750A"/>
    <w:rsid w:val="00700A26"/>
    <w:rsid w:val="007011A4"/>
    <w:rsid w:val="00702A8F"/>
    <w:rsid w:val="00707518"/>
    <w:rsid w:val="00707E8E"/>
    <w:rsid w:val="00714CC7"/>
    <w:rsid w:val="007176C9"/>
    <w:rsid w:val="00731D9B"/>
    <w:rsid w:val="00733032"/>
    <w:rsid w:val="007338C5"/>
    <w:rsid w:val="0074256E"/>
    <w:rsid w:val="00742851"/>
    <w:rsid w:val="00756B55"/>
    <w:rsid w:val="00765B3A"/>
    <w:rsid w:val="00766275"/>
    <w:rsid w:val="0077157D"/>
    <w:rsid w:val="00773293"/>
    <w:rsid w:val="007736B6"/>
    <w:rsid w:val="007763EF"/>
    <w:rsid w:val="0077644F"/>
    <w:rsid w:val="00785099"/>
    <w:rsid w:val="00790DFD"/>
    <w:rsid w:val="007918CD"/>
    <w:rsid w:val="00794790"/>
    <w:rsid w:val="00794B56"/>
    <w:rsid w:val="0079584F"/>
    <w:rsid w:val="00796D29"/>
    <w:rsid w:val="007A093D"/>
    <w:rsid w:val="007A1A02"/>
    <w:rsid w:val="007A49F8"/>
    <w:rsid w:val="007A5F5E"/>
    <w:rsid w:val="007B0297"/>
    <w:rsid w:val="007B2FB8"/>
    <w:rsid w:val="007B328D"/>
    <w:rsid w:val="007C2DBF"/>
    <w:rsid w:val="007D73D7"/>
    <w:rsid w:val="007E396A"/>
    <w:rsid w:val="007E57D0"/>
    <w:rsid w:val="007E61F2"/>
    <w:rsid w:val="007E73E0"/>
    <w:rsid w:val="007E79FA"/>
    <w:rsid w:val="007F30CB"/>
    <w:rsid w:val="00802771"/>
    <w:rsid w:val="00803864"/>
    <w:rsid w:val="00807EF4"/>
    <w:rsid w:val="008100A4"/>
    <w:rsid w:val="00821145"/>
    <w:rsid w:val="00822424"/>
    <w:rsid w:val="008232E2"/>
    <w:rsid w:val="00824B11"/>
    <w:rsid w:val="00825381"/>
    <w:rsid w:val="008269C5"/>
    <w:rsid w:val="00841AD8"/>
    <w:rsid w:val="00845108"/>
    <w:rsid w:val="00845E6B"/>
    <w:rsid w:val="0086097A"/>
    <w:rsid w:val="00862875"/>
    <w:rsid w:val="00865A1A"/>
    <w:rsid w:val="0086762F"/>
    <w:rsid w:val="008700F1"/>
    <w:rsid w:val="008705FE"/>
    <w:rsid w:val="00874DBD"/>
    <w:rsid w:val="00874EC2"/>
    <w:rsid w:val="00877977"/>
    <w:rsid w:val="0088093C"/>
    <w:rsid w:val="00880DC2"/>
    <w:rsid w:val="00881656"/>
    <w:rsid w:val="00881DB3"/>
    <w:rsid w:val="008834C0"/>
    <w:rsid w:val="00884489"/>
    <w:rsid w:val="00885BCD"/>
    <w:rsid w:val="00887342"/>
    <w:rsid w:val="008909F0"/>
    <w:rsid w:val="00890EDB"/>
    <w:rsid w:val="0089261F"/>
    <w:rsid w:val="00896165"/>
    <w:rsid w:val="008B1292"/>
    <w:rsid w:val="008B226C"/>
    <w:rsid w:val="008B4146"/>
    <w:rsid w:val="008B6373"/>
    <w:rsid w:val="008B6825"/>
    <w:rsid w:val="008C6C9B"/>
    <w:rsid w:val="008C7C63"/>
    <w:rsid w:val="008E7DEA"/>
    <w:rsid w:val="008F054C"/>
    <w:rsid w:val="008F1863"/>
    <w:rsid w:val="008F2E4C"/>
    <w:rsid w:val="008F43A4"/>
    <w:rsid w:val="008F58EA"/>
    <w:rsid w:val="00901170"/>
    <w:rsid w:val="0090157F"/>
    <w:rsid w:val="00904050"/>
    <w:rsid w:val="00907318"/>
    <w:rsid w:val="00912D55"/>
    <w:rsid w:val="00915541"/>
    <w:rsid w:val="00927298"/>
    <w:rsid w:val="009275D1"/>
    <w:rsid w:val="00927CCE"/>
    <w:rsid w:val="00937431"/>
    <w:rsid w:val="00940262"/>
    <w:rsid w:val="00946074"/>
    <w:rsid w:val="009501CE"/>
    <w:rsid w:val="00957D5B"/>
    <w:rsid w:val="00983747"/>
    <w:rsid w:val="00993188"/>
    <w:rsid w:val="00994DCE"/>
    <w:rsid w:val="009A3A35"/>
    <w:rsid w:val="009B7D7D"/>
    <w:rsid w:val="009D09E3"/>
    <w:rsid w:val="009E3DF3"/>
    <w:rsid w:val="009E64DD"/>
    <w:rsid w:val="009E6AF6"/>
    <w:rsid w:val="009F6040"/>
    <w:rsid w:val="009F660B"/>
    <w:rsid w:val="009F7F0B"/>
    <w:rsid w:val="009F7F37"/>
    <w:rsid w:val="00A07128"/>
    <w:rsid w:val="00A1118E"/>
    <w:rsid w:val="00A246FF"/>
    <w:rsid w:val="00A27DEC"/>
    <w:rsid w:val="00A355B5"/>
    <w:rsid w:val="00A53556"/>
    <w:rsid w:val="00A57F3E"/>
    <w:rsid w:val="00A602D1"/>
    <w:rsid w:val="00A67DC3"/>
    <w:rsid w:val="00A67DF5"/>
    <w:rsid w:val="00A76B37"/>
    <w:rsid w:val="00A90937"/>
    <w:rsid w:val="00AA7342"/>
    <w:rsid w:val="00AB4C13"/>
    <w:rsid w:val="00AB58EC"/>
    <w:rsid w:val="00AC58D0"/>
    <w:rsid w:val="00AC7DA9"/>
    <w:rsid w:val="00AD5BFC"/>
    <w:rsid w:val="00AD5E91"/>
    <w:rsid w:val="00AE18FC"/>
    <w:rsid w:val="00AE5AD9"/>
    <w:rsid w:val="00AF229A"/>
    <w:rsid w:val="00AF7411"/>
    <w:rsid w:val="00B04793"/>
    <w:rsid w:val="00B103C9"/>
    <w:rsid w:val="00B1243C"/>
    <w:rsid w:val="00B17E00"/>
    <w:rsid w:val="00B21934"/>
    <w:rsid w:val="00B266BB"/>
    <w:rsid w:val="00B32AF3"/>
    <w:rsid w:val="00B4179D"/>
    <w:rsid w:val="00B50026"/>
    <w:rsid w:val="00B52767"/>
    <w:rsid w:val="00B5324B"/>
    <w:rsid w:val="00B6158C"/>
    <w:rsid w:val="00B625E2"/>
    <w:rsid w:val="00B82418"/>
    <w:rsid w:val="00B84C4D"/>
    <w:rsid w:val="00B84DFB"/>
    <w:rsid w:val="00B87752"/>
    <w:rsid w:val="00BA01CB"/>
    <w:rsid w:val="00BC4C42"/>
    <w:rsid w:val="00BC58E1"/>
    <w:rsid w:val="00BC5E93"/>
    <w:rsid w:val="00BC6100"/>
    <w:rsid w:val="00BD01D3"/>
    <w:rsid w:val="00BD5516"/>
    <w:rsid w:val="00BD7354"/>
    <w:rsid w:val="00BE0D55"/>
    <w:rsid w:val="00BE5053"/>
    <w:rsid w:val="00BE5E62"/>
    <w:rsid w:val="00BE71A3"/>
    <w:rsid w:val="00BF5522"/>
    <w:rsid w:val="00C020ED"/>
    <w:rsid w:val="00C048EE"/>
    <w:rsid w:val="00C0797E"/>
    <w:rsid w:val="00C07E1F"/>
    <w:rsid w:val="00C10121"/>
    <w:rsid w:val="00C11840"/>
    <w:rsid w:val="00C21CEA"/>
    <w:rsid w:val="00C21EF4"/>
    <w:rsid w:val="00C32042"/>
    <w:rsid w:val="00C402EC"/>
    <w:rsid w:val="00C40318"/>
    <w:rsid w:val="00C416A6"/>
    <w:rsid w:val="00C4728B"/>
    <w:rsid w:val="00C54049"/>
    <w:rsid w:val="00C65D26"/>
    <w:rsid w:val="00C82982"/>
    <w:rsid w:val="00C927CE"/>
    <w:rsid w:val="00C93699"/>
    <w:rsid w:val="00CA7C07"/>
    <w:rsid w:val="00CB02BD"/>
    <w:rsid w:val="00CB1EAA"/>
    <w:rsid w:val="00CC5609"/>
    <w:rsid w:val="00CC6C0C"/>
    <w:rsid w:val="00CC784C"/>
    <w:rsid w:val="00CD0318"/>
    <w:rsid w:val="00CE0CCD"/>
    <w:rsid w:val="00CE4BC2"/>
    <w:rsid w:val="00CE7B6A"/>
    <w:rsid w:val="00CF0CD0"/>
    <w:rsid w:val="00CF6A95"/>
    <w:rsid w:val="00D031C4"/>
    <w:rsid w:val="00D12F66"/>
    <w:rsid w:val="00D13711"/>
    <w:rsid w:val="00D2135A"/>
    <w:rsid w:val="00D233EE"/>
    <w:rsid w:val="00D41143"/>
    <w:rsid w:val="00D4406A"/>
    <w:rsid w:val="00D538C7"/>
    <w:rsid w:val="00D562DC"/>
    <w:rsid w:val="00D63C5F"/>
    <w:rsid w:val="00D65841"/>
    <w:rsid w:val="00D70517"/>
    <w:rsid w:val="00D92348"/>
    <w:rsid w:val="00D92E24"/>
    <w:rsid w:val="00D939F9"/>
    <w:rsid w:val="00D95D68"/>
    <w:rsid w:val="00DB7A53"/>
    <w:rsid w:val="00DC026A"/>
    <w:rsid w:val="00DC347D"/>
    <w:rsid w:val="00DD1129"/>
    <w:rsid w:val="00DD2C61"/>
    <w:rsid w:val="00DD45FC"/>
    <w:rsid w:val="00DE792E"/>
    <w:rsid w:val="00DF616E"/>
    <w:rsid w:val="00E23270"/>
    <w:rsid w:val="00E441A0"/>
    <w:rsid w:val="00E444A2"/>
    <w:rsid w:val="00E44EB0"/>
    <w:rsid w:val="00E45591"/>
    <w:rsid w:val="00E5196E"/>
    <w:rsid w:val="00E54FBE"/>
    <w:rsid w:val="00E558A3"/>
    <w:rsid w:val="00E83949"/>
    <w:rsid w:val="00E90C9B"/>
    <w:rsid w:val="00EA1460"/>
    <w:rsid w:val="00EA3847"/>
    <w:rsid w:val="00EA4F26"/>
    <w:rsid w:val="00EB25F8"/>
    <w:rsid w:val="00EB4D1D"/>
    <w:rsid w:val="00EB699E"/>
    <w:rsid w:val="00EC5C7D"/>
    <w:rsid w:val="00EC7551"/>
    <w:rsid w:val="00ED1EAA"/>
    <w:rsid w:val="00ED2D1F"/>
    <w:rsid w:val="00ED480E"/>
    <w:rsid w:val="00EE548C"/>
    <w:rsid w:val="00EE6B39"/>
    <w:rsid w:val="00EF180A"/>
    <w:rsid w:val="00EF49C9"/>
    <w:rsid w:val="00F17D75"/>
    <w:rsid w:val="00F324E0"/>
    <w:rsid w:val="00F35D2F"/>
    <w:rsid w:val="00F4053D"/>
    <w:rsid w:val="00F46D9A"/>
    <w:rsid w:val="00F51A9E"/>
    <w:rsid w:val="00F52ED6"/>
    <w:rsid w:val="00F53254"/>
    <w:rsid w:val="00F5424C"/>
    <w:rsid w:val="00F56472"/>
    <w:rsid w:val="00F60F63"/>
    <w:rsid w:val="00F66D5F"/>
    <w:rsid w:val="00F7125E"/>
    <w:rsid w:val="00F75BE4"/>
    <w:rsid w:val="00F76205"/>
    <w:rsid w:val="00F771FF"/>
    <w:rsid w:val="00F90B50"/>
    <w:rsid w:val="00F91422"/>
    <w:rsid w:val="00F92E3D"/>
    <w:rsid w:val="00F9449D"/>
    <w:rsid w:val="00F954B4"/>
    <w:rsid w:val="00FA76DF"/>
    <w:rsid w:val="00FB27F3"/>
    <w:rsid w:val="00FB49CD"/>
    <w:rsid w:val="00FD4A8A"/>
    <w:rsid w:val="00FE4945"/>
    <w:rsid w:val="00FE5E5E"/>
    <w:rsid w:val="00FF1F28"/>
    <w:rsid w:val="00FF31F4"/>
    <w:rsid w:val="00FF667D"/>
    <w:rsid w:val="0753649E"/>
    <w:rsid w:val="35E61B94"/>
    <w:rsid w:val="42E6570F"/>
    <w:rsid w:val="503B5EC2"/>
    <w:rsid w:val="585774AF"/>
    <w:rsid w:val="6D0A36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26"/>
    <w:autoRedefine/>
    <w:qFormat/>
    <w:uiPriority w:val="0"/>
    <w:pPr>
      <w:keepNext/>
      <w:keepLines/>
      <w:spacing w:before="340" w:after="330" w:line="578" w:lineRule="auto"/>
      <w:outlineLvl w:val="0"/>
    </w:pPr>
    <w:rPr>
      <w:b/>
      <w:bCs/>
      <w:kern w:val="44"/>
      <w:sz w:val="44"/>
      <w:szCs w:val="44"/>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23"/>
    <w:autoRedefine/>
    <w:semiHidden/>
    <w:unhideWhenUsed/>
    <w:qFormat/>
    <w:uiPriority w:val="0"/>
    <w:rPr>
      <w:rFonts w:ascii="Microsoft YaHei UI" w:eastAsia="Microsoft YaHei UI"/>
      <w:sz w:val="18"/>
      <w:szCs w:val="18"/>
    </w:rPr>
  </w:style>
  <w:style w:type="paragraph" w:styleId="4">
    <w:name w:val="toc 3"/>
    <w:basedOn w:val="1"/>
    <w:next w:val="1"/>
    <w:autoRedefine/>
    <w:unhideWhenUsed/>
    <w:qFormat/>
    <w:uiPriority w:val="39"/>
    <w:pPr>
      <w:widowControl/>
      <w:spacing w:after="100" w:line="259" w:lineRule="auto"/>
      <w:ind w:left="440"/>
      <w:jc w:val="left"/>
    </w:pPr>
    <w:rPr>
      <w:rFonts w:cs="Times New Roman" w:asciiTheme="minorHAnsi" w:hAnsiTheme="minorHAnsi" w:eastAsiaTheme="minorEastAsia"/>
      <w:kern w:val="0"/>
      <w:sz w:val="22"/>
      <w:szCs w:val="22"/>
    </w:rPr>
  </w:style>
  <w:style w:type="paragraph" w:styleId="5">
    <w:name w:val="Balloon Text"/>
    <w:basedOn w:val="1"/>
    <w:link w:val="28"/>
    <w:autoRedefine/>
    <w:semiHidden/>
    <w:unhideWhenUsed/>
    <w:qFormat/>
    <w:uiPriority w:val="0"/>
    <w:rPr>
      <w:sz w:val="18"/>
      <w:szCs w:val="18"/>
    </w:rPr>
  </w:style>
  <w:style w:type="paragraph" w:styleId="6">
    <w:name w:val="footer"/>
    <w:basedOn w:val="1"/>
    <w:link w:val="18"/>
    <w:autoRedefine/>
    <w:qFormat/>
    <w:uiPriority w:val="99"/>
    <w:pPr>
      <w:tabs>
        <w:tab w:val="center" w:pos="4153"/>
        <w:tab w:val="right" w:pos="8306"/>
      </w:tabs>
      <w:snapToGrid w:val="0"/>
      <w:jc w:val="left"/>
    </w:pPr>
    <w:rPr>
      <w:sz w:val="18"/>
      <w:szCs w:val="18"/>
    </w:rPr>
  </w:style>
  <w:style w:type="paragraph" w:styleId="7">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unhideWhenUsed/>
    <w:qFormat/>
    <w:uiPriority w:val="39"/>
    <w:pPr>
      <w:widowControl/>
      <w:spacing w:after="100" w:line="259" w:lineRule="auto"/>
      <w:jc w:val="left"/>
    </w:pPr>
    <w:rPr>
      <w:rFonts w:cs="Times New Roman" w:asciiTheme="minorHAnsi" w:hAnsiTheme="minorHAnsi" w:eastAsiaTheme="minorEastAsia"/>
      <w:kern w:val="0"/>
      <w:sz w:val="22"/>
      <w:szCs w:val="22"/>
    </w:rPr>
  </w:style>
  <w:style w:type="paragraph" w:styleId="9">
    <w:name w:val="toc 2"/>
    <w:basedOn w:val="1"/>
    <w:next w:val="1"/>
    <w:autoRedefine/>
    <w:unhideWhenUsed/>
    <w:qFormat/>
    <w:uiPriority w:val="39"/>
    <w:pPr>
      <w:widowControl/>
      <w:spacing w:after="100" w:line="259" w:lineRule="auto"/>
      <w:ind w:left="220"/>
      <w:jc w:val="left"/>
    </w:pPr>
    <w:rPr>
      <w:rFonts w:cs="Times New Roman" w:asciiTheme="minorHAnsi" w:hAnsiTheme="minorHAnsi" w:eastAsiaTheme="minorEastAsia"/>
      <w:kern w:val="0"/>
      <w:sz w:val="22"/>
      <w:szCs w:val="22"/>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qFormat/>
    <w:uiPriority w:val="0"/>
  </w:style>
  <w:style w:type="paragraph" w:styleId="15">
    <w:name w:val="List Paragraph"/>
    <w:basedOn w:val="1"/>
    <w:autoRedefine/>
    <w:qFormat/>
    <w:uiPriority w:val="34"/>
    <w:pPr>
      <w:ind w:firstLine="420" w:firstLineChars="200"/>
    </w:pPr>
  </w:style>
  <w:style w:type="paragraph" w:customStyle="1" w:styleId="16">
    <w:name w:val="_Style 2"/>
    <w:basedOn w:val="1"/>
    <w:autoRedefine/>
    <w:qFormat/>
    <w:uiPriority w:val="0"/>
    <w:pPr>
      <w:widowControl/>
      <w:spacing w:after="160" w:line="240" w:lineRule="exact"/>
      <w:jc w:val="left"/>
    </w:pPr>
  </w:style>
  <w:style w:type="character" w:customStyle="1" w:styleId="17">
    <w:name w:val="页眉 Char"/>
    <w:basedOn w:val="13"/>
    <w:link w:val="7"/>
    <w:autoRedefine/>
    <w:qFormat/>
    <w:uiPriority w:val="0"/>
    <w:rPr>
      <w:rFonts w:ascii="Calibri" w:hAnsi="Calibri" w:cs="黑体"/>
      <w:kern w:val="2"/>
      <w:sz w:val="18"/>
      <w:szCs w:val="18"/>
    </w:rPr>
  </w:style>
  <w:style w:type="character" w:customStyle="1" w:styleId="18">
    <w:name w:val="页脚 Char"/>
    <w:basedOn w:val="13"/>
    <w:link w:val="6"/>
    <w:autoRedefine/>
    <w:qFormat/>
    <w:uiPriority w:val="99"/>
    <w:rPr>
      <w:rFonts w:ascii="Calibri" w:hAnsi="Calibri" w:cs="黑体"/>
      <w:kern w:val="2"/>
      <w:sz w:val="18"/>
      <w:szCs w:val="18"/>
    </w:rPr>
  </w:style>
  <w:style w:type="paragraph" w:customStyle="1" w:styleId="19">
    <w:name w:val="Char"/>
    <w:basedOn w:val="1"/>
    <w:autoRedefine/>
    <w:qFormat/>
    <w:uiPriority w:val="0"/>
    <w:pPr>
      <w:widowControl/>
      <w:spacing w:after="160" w:line="240" w:lineRule="exact"/>
      <w:jc w:val="left"/>
    </w:pPr>
    <w:rPr>
      <w:rFonts w:ascii="Verdana" w:hAnsi="Verdana" w:cs="Times New Roman"/>
      <w:kern w:val="0"/>
      <w:sz w:val="20"/>
      <w:szCs w:val="20"/>
      <w:lang w:eastAsia="en-US"/>
    </w:rPr>
  </w:style>
  <w:style w:type="paragraph" w:customStyle="1" w:styleId="20">
    <w:name w:val="Char1"/>
    <w:basedOn w:val="1"/>
    <w:autoRedefine/>
    <w:qFormat/>
    <w:uiPriority w:val="0"/>
    <w:pPr>
      <w:widowControl/>
      <w:spacing w:after="160" w:line="240" w:lineRule="exact"/>
      <w:jc w:val="left"/>
    </w:pPr>
    <w:rPr>
      <w:rFonts w:ascii="Verdana" w:hAnsi="Verdana" w:cs="Times New Roman"/>
      <w:kern w:val="0"/>
      <w:sz w:val="20"/>
      <w:szCs w:val="20"/>
      <w:lang w:eastAsia="en-US"/>
    </w:rPr>
  </w:style>
  <w:style w:type="paragraph" w:customStyle="1" w:styleId="21">
    <w:name w:val="Char2"/>
    <w:basedOn w:val="1"/>
    <w:autoRedefine/>
    <w:qFormat/>
    <w:uiPriority w:val="0"/>
    <w:pPr>
      <w:widowControl/>
      <w:spacing w:after="160" w:line="240" w:lineRule="exact"/>
      <w:jc w:val="left"/>
    </w:pPr>
    <w:rPr>
      <w:rFonts w:ascii="Verdana" w:hAnsi="Verdana" w:cs="Times New Roman"/>
      <w:kern w:val="0"/>
      <w:sz w:val="20"/>
      <w:szCs w:val="20"/>
      <w:lang w:eastAsia="en-US"/>
    </w:rPr>
  </w:style>
  <w:style w:type="paragraph" w:customStyle="1" w:styleId="22">
    <w:name w:val="Char Char Char2 Char"/>
    <w:basedOn w:val="3"/>
    <w:autoRedefine/>
    <w:qFormat/>
    <w:uiPriority w:val="0"/>
    <w:pPr>
      <w:shd w:val="clear" w:color="auto" w:fill="000080"/>
    </w:pPr>
    <w:rPr>
      <w:rFonts w:ascii="Tahoma" w:hAnsi="Tahoma" w:eastAsia="宋体" w:cs="Times New Roman"/>
      <w:sz w:val="24"/>
      <w:szCs w:val="24"/>
    </w:rPr>
  </w:style>
  <w:style w:type="character" w:customStyle="1" w:styleId="23">
    <w:name w:val="文档结构图 Char"/>
    <w:basedOn w:val="13"/>
    <w:link w:val="3"/>
    <w:autoRedefine/>
    <w:semiHidden/>
    <w:qFormat/>
    <w:uiPriority w:val="0"/>
    <w:rPr>
      <w:rFonts w:ascii="Microsoft YaHei UI" w:hAnsi="Calibri" w:eastAsia="Microsoft YaHei UI" w:cs="黑体"/>
      <w:kern w:val="2"/>
      <w:sz w:val="18"/>
      <w:szCs w:val="18"/>
    </w:rPr>
  </w:style>
  <w:style w:type="paragraph" w:customStyle="1" w:styleId="24">
    <w:name w:val="Char Char 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5">
    <w:name w:val="Char3"/>
    <w:basedOn w:val="1"/>
    <w:autoRedefine/>
    <w:qFormat/>
    <w:uiPriority w:val="0"/>
    <w:pPr>
      <w:widowControl/>
      <w:spacing w:after="160" w:line="240" w:lineRule="exact"/>
      <w:jc w:val="left"/>
    </w:pPr>
    <w:rPr>
      <w:rFonts w:ascii="Verdana" w:hAnsi="Verdana" w:cs="Times New Roman"/>
      <w:kern w:val="0"/>
      <w:sz w:val="20"/>
      <w:szCs w:val="20"/>
      <w:lang w:eastAsia="en-US"/>
    </w:rPr>
  </w:style>
  <w:style w:type="character" w:customStyle="1" w:styleId="26">
    <w:name w:val="标题 1 Char"/>
    <w:basedOn w:val="13"/>
    <w:link w:val="2"/>
    <w:autoRedefine/>
    <w:qFormat/>
    <w:uiPriority w:val="0"/>
    <w:rPr>
      <w:rFonts w:ascii="Calibri" w:hAnsi="Calibri" w:cs="黑体"/>
      <w:b/>
      <w:bCs/>
      <w:kern w:val="44"/>
      <w:sz w:val="44"/>
      <w:szCs w:val="44"/>
    </w:rPr>
  </w:style>
  <w:style w:type="paragraph" w:customStyle="1" w:styleId="27">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8">
    <w:name w:val="批注框文本 Char"/>
    <w:basedOn w:val="13"/>
    <w:link w:val="5"/>
    <w:autoRedefine/>
    <w:semiHidden/>
    <w:qFormat/>
    <w:uiPriority w:val="0"/>
    <w:rPr>
      <w:rFonts w:ascii="Calibri" w:hAnsi="Calibri" w:cs="黑体"/>
      <w:kern w:val="2"/>
      <w:sz w:val="18"/>
      <w:szCs w:val="18"/>
    </w:rPr>
  </w:style>
  <w:style w:type="paragraph" w:customStyle="1" w:styleId="29">
    <w:name w:val="pa-2"/>
    <w:basedOn w:val="1"/>
    <w:autoRedefine/>
    <w:qFormat/>
    <w:uiPriority w:val="0"/>
    <w:pPr>
      <w:widowControl/>
      <w:spacing w:line="360" w:lineRule="atLeast"/>
      <w:ind w:firstLine="640"/>
    </w:pPr>
    <w:rPr>
      <w:rFonts w:ascii="宋体" w:hAnsi="宋体" w:cs="宋体"/>
      <w:kern w:val="0"/>
      <w:sz w:val="24"/>
    </w:rPr>
  </w:style>
  <w:style w:type="character" w:customStyle="1" w:styleId="30">
    <w:name w:val="ca-41"/>
    <w:basedOn w:val="13"/>
    <w:autoRedefine/>
    <w:qFormat/>
    <w:uiPriority w:val="0"/>
    <w:rPr>
      <w:rFonts w:hint="eastAsia" w:ascii="仿宋_GB2312"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50F79-57B0-469F-AA3D-7A94EF6603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975</Words>
  <Characters>5560</Characters>
  <Lines>46</Lines>
  <Paragraphs>13</Paragraphs>
  <TotalTime>1</TotalTime>
  <ScaleCrop>false</ScaleCrop>
  <LinksUpToDate>false</LinksUpToDate>
  <CharactersWithSpaces>6522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2023-11-28T06:51:00Z</dcterms:created>
  <dc:creator>zbk</dc:creator>
  <cp:lastModifiedBy>新时代泰山挑山工</cp:lastModifiedBy>
  <cp:lastPrinted>2022-09-30T01:23:00Z</cp:lastPrinted>
  <dcterms:modified xsi:type="dcterms:W3CDTF">2024-03-18T08:25:01Z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2C3FD4B7D11B47A9AB84CA4C70804A18_13</vt:lpwstr>
  </property>
</Properties>
</file>